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70B49C55"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E97903">
        <w:rPr>
          <w:rFonts w:ascii="Arial" w:hAnsi="Arial" w:cs="Arial"/>
          <w:b/>
          <w:sz w:val="24"/>
        </w:rPr>
        <w:t>8</w:t>
      </w:r>
      <w:r w:rsidR="00D14560">
        <w:rPr>
          <w:rFonts w:ascii="Arial" w:hAnsi="Arial" w:cs="Arial"/>
          <w:b/>
          <w:sz w:val="24"/>
        </w:rPr>
        <w:t>8</w:t>
      </w:r>
      <w:r w:rsidR="00B06E77">
        <w:rPr>
          <w:rFonts w:ascii="Arial" w:hAnsi="Arial" w:cs="Arial"/>
          <w:b/>
          <w:sz w:val="24"/>
        </w:rPr>
        <w:t>b</w:t>
      </w:r>
      <w:r w:rsidRPr="00DA12F7">
        <w:rPr>
          <w:rFonts w:ascii="Arial" w:hAnsi="Arial" w:cs="Arial"/>
          <w:b/>
          <w:sz w:val="24"/>
        </w:rPr>
        <w:tab/>
        <w:t>R1-</w:t>
      </w:r>
      <w:r w:rsidR="00F53F03" w:rsidRPr="00F53F03">
        <w:rPr>
          <w:rFonts w:ascii="Arial" w:hAnsi="Arial" w:cs="Arial"/>
          <w:b/>
          <w:sz w:val="24"/>
        </w:rPr>
        <w:t>1704994</w:t>
      </w:r>
      <w:bookmarkStart w:id="0" w:name="_GoBack"/>
      <w:bookmarkEnd w:id="0"/>
    </w:p>
    <w:p w14:paraId="13C19C48" w14:textId="36495675" w:rsidR="00FD45CD" w:rsidRPr="00DA12F7" w:rsidRDefault="00B06E77" w:rsidP="00FD45CD">
      <w:pPr>
        <w:tabs>
          <w:tab w:val="right" w:pos="9630"/>
        </w:tabs>
        <w:spacing w:after="0"/>
        <w:rPr>
          <w:rFonts w:ascii="Arial" w:hAnsi="Arial" w:cs="Arial"/>
          <w:b/>
          <w:sz w:val="24"/>
          <w:szCs w:val="24"/>
        </w:rPr>
      </w:pPr>
      <w:r>
        <w:rPr>
          <w:rFonts w:ascii="Arial" w:hAnsi="Arial" w:cs="Arial"/>
          <w:b/>
          <w:sz w:val="24"/>
          <w:szCs w:val="24"/>
        </w:rPr>
        <w:t xml:space="preserve">April </w:t>
      </w:r>
      <w:r w:rsidR="00D14560">
        <w:rPr>
          <w:rFonts w:ascii="Arial" w:hAnsi="Arial" w:cs="Arial"/>
          <w:b/>
          <w:sz w:val="24"/>
          <w:szCs w:val="24"/>
        </w:rPr>
        <w:t>3</w:t>
      </w:r>
      <w:r>
        <w:rPr>
          <w:rFonts w:ascii="Arial" w:hAnsi="Arial" w:cs="Arial"/>
          <w:b/>
          <w:sz w:val="24"/>
          <w:szCs w:val="24"/>
          <w:vertAlign w:val="superscript"/>
        </w:rPr>
        <w:t>rd</w:t>
      </w:r>
      <w:r w:rsidR="00485E94">
        <w:rPr>
          <w:rFonts w:ascii="Arial" w:hAnsi="Arial" w:cs="Arial"/>
          <w:b/>
          <w:sz w:val="24"/>
          <w:szCs w:val="24"/>
        </w:rPr>
        <w:t>–</w:t>
      </w:r>
      <w:r w:rsidR="00D14560">
        <w:rPr>
          <w:rFonts w:ascii="Arial" w:hAnsi="Arial" w:cs="Arial"/>
          <w:b/>
          <w:sz w:val="24"/>
          <w:szCs w:val="24"/>
        </w:rPr>
        <w:t>7</w:t>
      </w:r>
      <w:r w:rsidR="00DB30AC" w:rsidRPr="0064244B">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631BC029" w:rsidR="00FD45CD" w:rsidRPr="00DA12F7" w:rsidRDefault="00B06E77" w:rsidP="00FD45CD">
      <w:pPr>
        <w:rPr>
          <w:rFonts w:ascii="Arial" w:hAnsi="Arial" w:cs="Arial"/>
          <w:b/>
          <w:sz w:val="24"/>
          <w:szCs w:val="24"/>
        </w:rPr>
      </w:pPr>
      <w:r>
        <w:rPr>
          <w:rFonts w:ascii="Arial" w:hAnsi="Arial" w:cs="Arial"/>
          <w:b/>
          <w:sz w:val="24"/>
          <w:szCs w:val="24"/>
        </w:rPr>
        <w:t>Spokane</w:t>
      </w:r>
      <w:r w:rsidR="00A20EB0">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AA7CBC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D14560">
        <w:rPr>
          <w:rFonts w:ascii="Arial" w:hAnsi="Arial"/>
          <w:sz w:val="24"/>
        </w:rPr>
        <w:t>7.</w:t>
      </w:r>
      <w:r w:rsidR="00B2388A">
        <w:rPr>
          <w:rFonts w:ascii="Arial" w:hAnsi="Arial"/>
          <w:sz w:val="24"/>
        </w:rPr>
        <w:t>2</w:t>
      </w:r>
      <w:r w:rsidR="00155BCB">
        <w:rPr>
          <w:rFonts w:ascii="Arial" w:hAnsi="Arial"/>
          <w:sz w:val="24"/>
        </w:rPr>
        <w:t>.</w:t>
      </w:r>
      <w:r w:rsidR="00B06E7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w:t>
      </w:r>
      <w:r w:rsidR="00A142BC">
        <w:rPr>
          <w:rFonts w:ascii="Arial" w:hAnsi="Arial"/>
          <w:sz w:val="24"/>
        </w:rPr>
        <w:t>5</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B8F1C3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B578A">
        <w:rPr>
          <w:rFonts w:ascii="Arial" w:hAnsi="Arial"/>
          <w:sz w:val="24"/>
        </w:rPr>
        <w:t>Design Details of the Shortened P</w:t>
      </w:r>
      <w:r w:rsidR="00A142BC">
        <w:rPr>
          <w:rFonts w:ascii="Arial" w:hAnsi="Arial"/>
          <w:sz w:val="24"/>
        </w:rPr>
        <w:t>USCH</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5C7A5B3" w:rsidR="004C7384" w:rsidRDefault="00D127A5" w:rsidP="00F30894">
      <w:pPr>
        <w:jc w:val="both"/>
      </w:pPr>
      <w:r>
        <w:t>In RAN1 #86b and #87, the following agreements are reached, respectively:</w:t>
      </w:r>
    </w:p>
    <w:p w14:paraId="5151CE9D" w14:textId="4A704243" w:rsidR="00026F42" w:rsidRPr="00026F42" w:rsidRDefault="00026F42" w:rsidP="00F30894">
      <w:pPr>
        <w:jc w:val="both"/>
        <w:rPr>
          <w:b/>
          <w:u w:val="single"/>
        </w:rPr>
      </w:pPr>
      <w:r w:rsidRPr="00026F42">
        <w:rPr>
          <w:b/>
          <w:u w:val="single"/>
        </w:rPr>
        <w:t>Agreements:</w:t>
      </w:r>
    </w:p>
    <w:p w14:paraId="232C2AE3" w14:textId="42A8A41F" w:rsidR="002B5C2D" w:rsidRPr="00026F42" w:rsidRDefault="001E2E55" w:rsidP="00026F42">
      <w:pPr>
        <w:pStyle w:val="ListParagraph"/>
        <w:numPr>
          <w:ilvl w:val="0"/>
          <w:numId w:val="46"/>
        </w:numPr>
        <w:jc w:val="both"/>
        <w:rPr>
          <w:rFonts w:eastAsiaTheme="minorEastAsia"/>
          <w:i/>
          <w:sz w:val="20"/>
        </w:rPr>
      </w:pPr>
      <w:r w:rsidRPr="00026F42">
        <w:rPr>
          <w:rFonts w:eastAsiaTheme="minorEastAsia"/>
          <w:i/>
          <w:sz w:val="20"/>
        </w:rPr>
        <w:t xml:space="preserve">For UL transmission for </w:t>
      </w:r>
      <w:proofErr w:type="spellStart"/>
      <w:r w:rsidRPr="00026F42">
        <w:rPr>
          <w:rFonts w:eastAsiaTheme="minorEastAsia"/>
          <w:i/>
          <w:sz w:val="20"/>
        </w:rPr>
        <w:t>sTTI</w:t>
      </w:r>
      <w:proofErr w:type="spellEnd"/>
      <w:r w:rsidR="00026F42">
        <w:rPr>
          <w:rFonts w:eastAsiaTheme="minorEastAsia"/>
          <w:i/>
          <w:sz w:val="20"/>
        </w:rPr>
        <w:t>:</w:t>
      </w:r>
    </w:p>
    <w:p w14:paraId="70761C8E" w14:textId="1675DCE9" w:rsidR="002B5C2D" w:rsidRPr="00026F42" w:rsidRDefault="001E2E55" w:rsidP="00026F42">
      <w:pPr>
        <w:pStyle w:val="ListParagraph"/>
        <w:numPr>
          <w:ilvl w:val="1"/>
          <w:numId w:val="46"/>
        </w:numPr>
        <w:jc w:val="both"/>
        <w:rPr>
          <w:rFonts w:eastAsiaTheme="minorEastAsia"/>
          <w:i/>
          <w:sz w:val="20"/>
        </w:rPr>
      </w:pPr>
      <w:r w:rsidRPr="00026F42">
        <w:rPr>
          <w:rFonts w:eastAsiaTheme="minorEastAsia"/>
          <w:i/>
          <w:sz w:val="20"/>
        </w:rPr>
        <w:t>TM1 and TM2 are supported</w:t>
      </w:r>
      <w:r w:rsidR="00026F42">
        <w:rPr>
          <w:rFonts w:eastAsiaTheme="minorEastAsia"/>
          <w:i/>
          <w:sz w:val="20"/>
        </w:rPr>
        <w:t>.</w:t>
      </w:r>
    </w:p>
    <w:p w14:paraId="2E62F320" w14:textId="2C9CB5F5" w:rsidR="002B5C2D" w:rsidRPr="00026F42" w:rsidRDefault="001E2E55" w:rsidP="00026F42">
      <w:pPr>
        <w:numPr>
          <w:ilvl w:val="0"/>
          <w:numId w:val="46"/>
        </w:numPr>
        <w:jc w:val="both"/>
        <w:rPr>
          <w:i/>
        </w:rPr>
      </w:pPr>
      <w:r w:rsidRPr="00026F42">
        <w:rPr>
          <w:i/>
        </w:rPr>
        <w:t xml:space="preserve">For 7-symbol TTI, the following </w:t>
      </w:r>
      <w:proofErr w:type="spellStart"/>
      <w:r w:rsidRPr="00026F42">
        <w:rPr>
          <w:i/>
        </w:rPr>
        <w:t>sTTI</w:t>
      </w:r>
      <w:proofErr w:type="spellEnd"/>
      <w:r w:rsidRPr="00026F42">
        <w:rPr>
          <w:i/>
        </w:rPr>
        <w:t xml:space="preserve"> structure is supported for UL </w:t>
      </w:r>
      <w:proofErr w:type="spellStart"/>
      <w:r w:rsidRPr="00026F42">
        <w:rPr>
          <w:i/>
        </w:rPr>
        <w:t>sPUSCH</w:t>
      </w:r>
      <w:proofErr w:type="spellEnd"/>
      <w:r w:rsidR="00D5509C">
        <w:rPr>
          <w:i/>
        </w:rPr>
        <w:t>:</w:t>
      </w:r>
    </w:p>
    <w:p w14:paraId="17F2BEBD" w14:textId="528EAF22" w:rsidR="00D127A5" w:rsidRPr="00D127A5" w:rsidRDefault="00D5509C" w:rsidP="00D5509C">
      <w:pPr>
        <w:jc w:val="center"/>
        <w:rPr>
          <w:i/>
        </w:rPr>
      </w:pPr>
      <w:r>
        <w:rPr>
          <w:noProof/>
        </w:rPr>
        <w:drawing>
          <wp:inline distT="0" distB="0" distL="0" distR="0" wp14:anchorId="46E197D9" wp14:editId="33842D84">
            <wp:extent cx="4554855" cy="94297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4855" cy="942975"/>
                    </a:xfrm>
                    <a:prstGeom prst="rect">
                      <a:avLst/>
                    </a:prstGeom>
                    <a:noFill/>
                  </pic:spPr>
                </pic:pic>
              </a:graphicData>
            </a:graphic>
          </wp:inline>
        </w:drawing>
      </w:r>
    </w:p>
    <w:p w14:paraId="0B6C83FD" w14:textId="6BF22953" w:rsidR="00D127A5" w:rsidRDefault="00D127A5" w:rsidP="00D127A5">
      <w:pPr>
        <w:jc w:val="both"/>
      </w:pPr>
      <w:r>
        <w:t>In thi</w:t>
      </w:r>
      <w:r w:rsidR="00D5509C">
        <w:t>s contribution paper, we focus on presenting</w:t>
      </w:r>
      <w:r>
        <w:t xml:space="preserve"> </w:t>
      </w:r>
      <w:r w:rsidR="00D5509C">
        <w:t>more details</w:t>
      </w:r>
      <w:r>
        <w:t xml:space="preserve"> related to the design of </w:t>
      </w:r>
      <w:proofErr w:type="spellStart"/>
      <w:r w:rsidR="00D5509C">
        <w:t>sPU</w:t>
      </w:r>
      <w:r>
        <w:t>SCH</w:t>
      </w:r>
      <w:proofErr w:type="spellEnd"/>
      <w:r>
        <w:t xml:space="preserve"> in low latency LTE systems</w:t>
      </w:r>
      <w:r w:rsidR="00D5509C">
        <w:t xml:space="preserve"> as follows</w:t>
      </w:r>
      <w:r>
        <w:t>:</w:t>
      </w:r>
    </w:p>
    <w:p w14:paraId="52595E52" w14:textId="4CE9F430" w:rsidR="00140220" w:rsidRPr="0040500A" w:rsidRDefault="00140220" w:rsidP="00F53F03">
      <w:pPr>
        <w:pStyle w:val="ListParagraph"/>
        <w:numPr>
          <w:ilvl w:val="0"/>
          <w:numId w:val="43"/>
        </w:numPr>
        <w:jc w:val="both"/>
      </w:pPr>
      <w:r>
        <w:rPr>
          <w:sz w:val="20"/>
          <w:szCs w:val="20"/>
        </w:rPr>
        <w:t xml:space="preserve">Simultaneous encoding of PUSCH and </w:t>
      </w:r>
      <w:proofErr w:type="spellStart"/>
      <w:r>
        <w:rPr>
          <w:sz w:val="20"/>
          <w:szCs w:val="20"/>
        </w:rPr>
        <w:t>sPUSCH</w:t>
      </w:r>
      <w:proofErr w:type="spellEnd"/>
    </w:p>
    <w:p w14:paraId="4BE6A636" w14:textId="482999BD" w:rsidR="00EA3C77" w:rsidRPr="00140220" w:rsidRDefault="00EA3C77" w:rsidP="00F53F03">
      <w:pPr>
        <w:pStyle w:val="ListParagraph"/>
        <w:numPr>
          <w:ilvl w:val="0"/>
          <w:numId w:val="43"/>
        </w:numPr>
        <w:jc w:val="both"/>
      </w:pPr>
      <w:r w:rsidRPr="00F53F03">
        <w:rPr>
          <w:sz w:val="20"/>
          <w:szCs w:val="20"/>
        </w:rPr>
        <w:t>SR for low latency operation</w:t>
      </w:r>
    </w:p>
    <w:p w14:paraId="60E5B123" w14:textId="6F76EEB0" w:rsidR="007A0202" w:rsidRPr="007A0202" w:rsidRDefault="007A0202" w:rsidP="007A0202">
      <w:pPr>
        <w:pStyle w:val="ListParagraph"/>
        <w:numPr>
          <w:ilvl w:val="0"/>
          <w:numId w:val="43"/>
        </w:numPr>
        <w:rPr>
          <w:sz w:val="20"/>
          <w:lang w:val="en-GB"/>
        </w:rPr>
      </w:pPr>
      <w:r w:rsidRPr="007A0202">
        <w:rPr>
          <w:sz w:val="20"/>
          <w:lang w:val="en-GB"/>
        </w:rPr>
        <w:t xml:space="preserve">Backward compatibility and </w:t>
      </w:r>
      <w:r w:rsidR="0084282D">
        <w:rPr>
          <w:sz w:val="20"/>
          <w:lang w:val="en-GB"/>
        </w:rPr>
        <w:t>impact to legacy o</w:t>
      </w:r>
      <w:r w:rsidRPr="007A0202">
        <w:rPr>
          <w:sz w:val="20"/>
          <w:lang w:val="en-GB"/>
        </w:rPr>
        <w:t>peration</w:t>
      </w:r>
    </w:p>
    <w:p w14:paraId="02D827F5" w14:textId="428EB9D7" w:rsidR="00D127A5" w:rsidRPr="00932C4B" w:rsidRDefault="00D127A5" w:rsidP="00D127A5">
      <w:pPr>
        <w:pStyle w:val="ListParagraph"/>
        <w:numPr>
          <w:ilvl w:val="0"/>
          <w:numId w:val="43"/>
        </w:numPr>
        <w:jc w:val="both"/>
        <w:rPr>
          <w:sz w:val="20"/>
        </w:rPr>
      </w:pPr>
      <w:proofErr w:type="spellStart"/>
      <w:r w:rsidRPr="00932C4B">
        <w:rPr>
          <w:sz w:val="20"/>
        </w:rPr>
        <w:t>sP</w:t>
      </w:r>
      <w:r w:rsidR="00D5509C">
        <w:rPr>
          <w:sz w:val="20"/>
        </w:rPr>
        <w:t>U</w:t>
      </w:r>
      <w:r w:rsidRPr="00932C4B">
        <w:rPr>
          <w:sz w:val="20"/>
        </w:rPr>
        <w:t>SCH</w:t>
      </w:r>
      <w:proofErr w:type="spellEnd"/>
      <w:r w:rsidRPr="00932C4B">
        <w:rPr>
          <w:sz w:val="20"/>
        </w:rPr>
        <w:t xml:space="preserve">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30F9BFF7" w:rsidR="00D127A5" w:rsidRDefault="0084282D" w:rsidP="00F30894">
      <w:pPr>
        <w:pStyle w:val="ListParagraph"/>
        <w:numPr>
          <w:ilvl w:val="0"/>
          <w:numId w:val="43"/>
        </w:numPr>
        <w:jc w:val="both"/>
        <w:rPr>
          <w:sz w:val="20"/>
        </w:rPr>
      </w:pPr>
      <w:r>
        <w:rPr>
          <w:sz w:val="20"/>
        </w:rPr>
        <w:t>Number of CWs and l</w:t>
      </w:r>
      <w:r w:rsidR="00932C4B" w:rsidRPr="00932C4B">
        <w:rPr>
          <w:sz w:val="20"/>
        </w:rPr>
        <w:t>ayers.</w:t>
      </w:r>
    </w:p>
    <w:p w14:paraId="4CA93770" w14:textId="565CC006" w:rsidR="0084282D" w:rsidRPr="00932C4B" w:rsidRDefault="0084282D" w:rsidP="00F30894">
      <w:pPr>
        <w:pStyle w:val="ListParagraph"/>
        <w:numPr>
          <w:ilvl w:val="0"/>
          <w:numId w:val="43"/>
        </w:numPr>
        <w:jc w:val="both"/>
        <w:rPr>
          <w:sz w:val="20"/>
        </w:rPr>
      </w:pPr>
      <w:r>
        <w:rPr>
          <w:sz w:val="20"/>
        </w:rPr>
        <w:t xml:space="preserve">UL MIMO considerations for the 1-slot operation. </w:t>
      </w:r>
    </w:p>
    <w:p w14:paraId="61A6FF5A" w14:textId="13716CFF" w:rsidR="00386B87" w:rsidRDefault="00491EEE" w:rsidP="007A0202">
      <w:pPr>
        <w:pStyle w:val="Heading1"/>
        <w:jc w:val="both"/>
      </w:pPr>
      <w:r w:rsidRPr="00CC27F5">
        <w:t>2</w:t>
      </w:r>
      <w:r w:rsidRPr="00CC27F5">
        <w:tab/>
      </w:r>
      <w:r w:rsidR="002E53CF">
        <w:t>Discussion</w:t>
      </w:r>
    </w:p>
    <w:p w14:paraId="10CCBFF8" w14:textId="68BFA867" w:rsidR="00140220" w:rsidRDefault="00140220" w:rsidP="00140220">
      <w:pPr>
        <w:pStyle w:val="Heading3"/>
        <w:keepNext/>
        <w:keepLines/>
        <w:numPr>
          <w:ilvl w:val="1"/>
          <w:numId w:val="44"/>
        </w:numPr>
        <w:jc w:val="both"/>
      </w:pPr>
      <w:r>
        <w:t xml:space="preserve">   Simultaneous Encoding of 1ms PUSCH and </w:t>
      </w:r>
      <w:proofErr w:type="spellStart"/>
      <w:r>
        <w:t>sPUSCH</w:t>
      </w:r>
      <w:proofErr w:type="spellEnd"/>
    </w:p>
    <w:p w14:paraId="17777302" w14:textId="4E115C73" w:rsidR="009E75A6" w:rsidRDefault="00140220" w:rsidP="00F53F03">
      <w:pPr>
        <w:jc w:val="both"/>
      </w:pPr>
      <w:r>
        <w:rPr>
          <w:lang w:val="en-GB"/>
        </w:rPr>
        <w:t>In [</w:t>
      </w:r>
      <w:r w:rsidR="0040500A">
        <w:rPr>
          <w:lang w:val="en-GB"/>
        </w:rPr>
        <w:t>1</w:t>
      </w:r>
      <w:r>
        <w:rPr>
          <w:lang w:val="en-GB"/>
        </w:rPr>
        <w:t>]</w:t>
      </w:r>
      <w:r w:rsidR="009E75A6">
        <w:rPr>
          <w:lang w:val="en-GB"/>
        </w:rPr>
        <w:t xml:space="preserve">, we discussed the scenario where a UE has to decode </w:t>
      </w:r>
      <w:proofErr w:type="gramStart"/>
      <w:r w:rsidR="009E75A6">
        <w:rPr>
          <w:lang w:val="en-GB"/>
        </w:rPr>
        <w:t>an</w:t>
      </w:r>
      <w:proofErr w:type="gramEnd"/>
      <w:r w:rsidR="009E75A6">
        <w:rPr>
          <w:lang w:val="en-GB"/>
        </w:rPr>
        <w:t xml:space="preserve"> </w:t>
      </w:r>
      <w:proofErr w:type="spellStart"/>
      <w:r w:rsidR="009E75A6">
        <w:rPr>
          <w:lang w:val="en-GB"/>
        </w:rPr>
        <w:t>sTTI</w:t>
      </w:r>
      <w:proofErr w:type="spellEnd"/>
      <w:r w:rsidR="009E75A6">
        <w:rPr>
          <w:lang w:val="en-GB"/>
        </w:rPr>
        <w:t xml:space="preserve">, while its processing may collide with the decoding of another PDSCH sent earlier. Hence, as proposed, some limitations may need to be imposed. Similarly, in the UL, a UE may need to prepare/encode both PUSCH and </w:t>
      </w:r>
      <w:proofErr w:type="spellStart"/>
      <w:r w:rsidR="009E75A6">
        <w:rPr>
          <w:lang w:val="en-GB"/>
        </w:rPr>
        <w:t>sPUSCH</w:t>
      </w:r>
      <w:proofErr w:type="spellEnd"/>
      <w:r w:rsidR="009E75A6">
        <w:rPr>
          <w:lang w:val="en-GB"/>
        </w:rPr>
        <w:t xml:space="preserve"> simultaneously. Hence, even in the UL, some constraints may need to be met.</w:t>
      </w:r>
    </w:p>
    <w:p w14:paraId="4649ACA7" w14:textId="108176F2" w:rsidR="00140220" w:rsidRPr="00F53F03" w:rsidRDefault="009E75A6" w:rsidP="00F53F03">
      <w:pPr>
        <w:rPr>
          <w:b/>
        </w:rPr>
      </w:pPr>
      <w:r w:rsidRPr="00F53F03">
        <w:rPr>
          <w:b/>
          <w:lang w:val="en-GB"/>
        </w:rPr>
        <w:t xml:space="preserve">Proposal 1: Further study the need to impose some constraints if a UE is dynamically scheduled with 1ms TTI and </w:t>
      </w:r>
      <w:proofErr w:type="spellStart"/>
      <w:r w:rsidRPr="00F53F03">
        <w:rPr>
          <w:b/>
          <w:lang w:val="en-GB"/>
        </w:rPr>
        <w:t>sTTI</w:t>
      </w:r>
      <w:proofErr w:type="spellEnd"/>
      <w:r>
        <w:rPr>
          <w:b/>
          <w:lang w:val="en-GB"/>
        </w:rPr>
        <w:t xml:space="preserve"> in the UL</w:t>
      </w:r>
      <w:r w:rsidRPr="00F53F03">
        <w:rPr>
          <w:b/>
          <w:lang w:val="en-GB"/>
        </w:rPr>
        <w:t xml:space="preserve">. </w:t>
      </w:r>
    </w:p>
    <w:p w14:paraId="6BAE553C" w14:textId="061F64A7" w:rsidR="00EA3C77" w:rsidRDefault="00EA3C77" w:rsidP="00EA3C77">
      <w:pPr>
        <w:pStyle w:val="Heading3"/>
        <w:keepNext/>
        <w:keepLines/>
        <w:numPr>
          <w:ilvl w:val="1"/>
          <w:numId w:val="44"/>
        </w:numPr>
        <w:jc w:val="both"/>
      </w:pPr>
      <w:r>
        <w:t xml:space="preserve">   SR for Low Latency Operation</w:t>
      </w:r>
    </w:p>
    <w:p w14:paraId="11578582" w14:textId="77777777" w:rsidR="00EA3C77" w:rsidRDefault="00EA3C77" w:rsidP="00F53F03">
      <w:pPr>
        <w:jc w:val="both"/>
      </w:pPr>
      <w:r>
        <w:rPr>
          <w:lang w:val="en-GB"/>
        </w:rPr>
        <w:t>In legacy LTE systems, when UL traffic arrives and user has no UL resource to use, a scheduling request has to be sent. The SR resources are defined via RRC signalling with a given periodicity. When low latency operation is enabled, the scheduling request should be sent separately. This is because the low latency service is delay-sensitive, and a low latency user should access the UL channel as fast as possible. Hence, we have:</w:t>
      </w:r>
    </w:p>
    <w:p w14:paraId="1A08CB25" w14:textId="52A50D73" w:rsidR="00EA3C77" w:rsidRPr="00F53F03" w:rsidRDefault="009E75A6" w:rsidP="00F53F03">
      <w:pPr>
        <w:rPr>
          <w:b/>
        </w:rPr>
      </w:pPr>
      <w:r w:rsidRPr="00F53F03">
        <w:rPr>
          <w:b/>
          <w:lang w:val="en-GB"/>
        </w:rPr>
        <w:lastRenderedPageBreak/>
        <w:t>Proposal 2</w:t>
      </w:r>
      <w:r w:rsidR="00EA3C77" w:rsidRPr="00F53F03">
        <w:rPr>
          <w:b/>
          <w:lang w:val="en-GB"/>
        </w:rPr>
        <w:t>: Consider a separate scheduling request signalling for a low latency operation.</w:t>
      </w:r>
    </w:p>
    <w:p w14:paraId="07F50599" w14:textId="0AF0E031" w:rsidR="006034B0" w:rsidRDefault="006034B0" w:rsidP="006034B0">
      <w:pPr>
        <w:pStyle w:val="Heading3"/>
        <w:keepNext/>
        <w:keepLines/>
        <w:numPr>
          <w:ilvl w:val="1"/>
          <w:numId w:val="44"/>
        </w:numPr>
        <w:jc w:val="both"/>
      </w:pPr>
      <w:r>
        <w:t xml:space="preserve">   </w:t>
      </w:r>
      <w:r w:rsidR="007A0202">
        <w:t>Backward compatibility and Impact to the Legacy Operation</w:t>
      </w:r>
    </w:p>
    <w:p w14:paraId="59C58E4C" w14:textId="6A0AB1B5" w:rsidR="007A0202" w:rsidRDefault="007A0202" w:rsidP="007A0202">
      <w:pPr>
        <w:jc w:val="both"/>
        <w:rPr>
          <w:lang w:val="en-GB"/>
        </w:rPr>
      </w:pPr>
      <w:r>
        <w:rPr>
          <w:lang w:val="en-GB"/>
        </w:rPr>
        <w:t>It is important that the low latency uplink operation remains backward compatible with the existing uplink LTE structure. Hence,</w:t>
      </w:r>
      <w:r w:rsidR="00D6148F">
        <w:rPr>
          <w:lang w:val="en-GB"/>
        </w:rPr>
        <w:t xml:space="preserve"> </w:t>
      </w:r>
      <w:r>
        <w:rPr>
          <w:lang w:val="en-GB"/>
        </w:rPr>
        <w:t xml:space="preserve">when possible, </w:t>
      </w:r>
      <w:proofErr w:type="spellStart"/>
      <w:r>
        <w:rPr>
          <w:lang w:val="en-GB"/>
        </w:rPr>
        <w:t>eNB</w:t>
      </w:r>
      <w:proofErr w:type="spellEnd"/>
      <w:r>
        <w:rPr>
          <w:lang w:val="en-GB"/>
        </w:rPr>
        <w:t xml:space="preserve"> can implement operational changes that ensure that legacy and low latency uplink channels are not interfering each other, thereby allowing for joint and seamless operation. For example, using resource assignments that are non-colliding for legacy and low latency users can guarantee compatibility, albeit at the expense of some scheduling flexibility and efficiency of resource usage.</w:t>
      </w:r>
    </w:p>
    <w:p w14:paraId="58B0584E" w14:textId="52412D77" w:rsidR="007A0202" w:rsidRDefault="007A0202" w:rsidP="006453B0">
      <w:pPr>
        <w:jc w:val="both"/>
        <w:rPr>
          <w:lang w:val="en-GB"/>
        </w:rPr>
      </w:pPr>
      <w:r>
        <w:rPr>
          <w:lang w:val="en-GB"/>
        </w:rPr>
        <w:t>In certain situations, collisions may not be completely avoidable, especially for cases where a legacy 1ms channel has already been assigned to a UE and a low latency PUSCH assignment is required to be transmitted from the same UE mid-</w:t>
      </w:r>
      <w:proofErr w:type="spellStart"/>
      <w:r>
        <w:rPr>
          <w:lang w:val="en-GB"/>
        </w:rPr>
        <w:t>subframe</w:t>
      </w:r>
      <w:proofErr w:type="spellEnd"/>
      <w:r>
        <w:rPr>
          <w:lang w:val="en-GB"/>
        </w:rPr>
        <w:t xml:space="preserve">. In these circumstances, specific transmission rules can be employed that alleviate the effects of the resource collision. For example, </w:t>
      </w:r>
      <w:r w:rsidRPr="00263EA2">
        <w:rPr>
          <w:lang w:val="en-GB"/>
        </w:rPr>
        <w:t xml:space="preserve">giving priority to the low latency channel and </w:t>
      </w:r>
      <w:r>
        <w:rPr>
          <w:lang w:val="en-GB"/>
        </w:rPr>
        <w:t>dropping</w:t>
      </w:r>
      <w:r w:rsidRPr="00263EA2">
        <w:rPr>
          <w:lang w:val="en-GB"/>
        </w:rPr>
        <w:t xml:space="preserve"> the legacy transmission can be one suitable solution.</w:t>
      </w:r>
      <w:r w:rsidR="006453B0">
        <w:rPr>
          <w:lang w:val="en-GB"/>
        </w:rPr>
        <w:t xml:space="preserve"> Additionally, power allocations of the legacy and low latency channels needs to be considered under simultaneous operation by a UE. For cases where the UE is operating in a power limited scenario, the abrupt inclusion of a low latency channel in parallel with a legacy channel may potentially negatively affect the demodulation of the uplink legacy channel. In [</w:t>
      </w:r>
      <w:r w:rsidR="0040500A">
        <w:rPr>
          <w:lang w:val="en-GB"/>
        </w:rPr>
        <w:t>1</w:t>
      </w:r>
      <w:r w:rsidR="006453B0">
        <w:rPr>
          <w:lang w:val="en-GB"/>
        </w:rPr>
        <w:t xml:space="preserve">], we present different approaches to handle the collision between 1ms TTI and </w:t>
      </w:r>
      <w:proofErr w:type="spellStart"/>
      <w:r w:rsidR="006453B0">
        <w:rPr>
          <w:lang w:val="en-GB"/>
        </w:rPr>
        <w:t>sTTI</w:t>
      </w:r>
      <w:proofErr w:type="spellEnd"/>
      <w:r w:rsidR="006453B0">
        <w:rPr>
          <w:lang w:val="en-GB"/>
        </w:rPr>
        <w:t xml:space="preserve"> for a given user.</w:t>
      </w:r>
    </w:p>
    <w:p w14:paraId="6F7AF7C4" w14:textId="5AA78EF1" w:rsidR="006453B0" w:rsidRDefault="006453B0" w:rsidP="006453B0">
      <w:pPr>
        <w:jc w:val="both"/>
        <w:rPr>
          <w:lang w:val="en-GB"/>
        </w:rPr>
      </w:pPr>
      <w:r>
        <w:rPr>
          <w:lang w:val="en-GB"/>
        </w:rPr>
        <w:t xml:space="preserve">Yet another potential collision case is a new low latency UE </w:t>
      </w:r>
      <w:proofErr w:type="spellStart"/>
      <w:r>
        <w:rPr>
          <w:lang w:val="en-GB"/>
        </w:rPr>
        <w:t>sPUSCH</w:t>
      </w:r>
      <w:proofErr w:type="spellEnd"/>
      <w:r>
        <w:rPr>
          <w:lang w:val="en-GB"/>
        </w:rPr>
        <w:t xml:space="preserve"> transmission colliding with a legacy UE PUSCH transmission. This may happen when the legacy UE PUSCH transmission was already granted, but there is a need to grant a low latency UE for </w:t>
      </w:r>
      <w:proofErr w:type="spellStart"/>
      <w:r>
        <w:rPr>
          <w:lang w:val="en-GB"/>
        </w:rPr>
        <w:t>sPUSCH</w:t>
      </w:r>
      <w:proofErr w:type="spellEnd"/>
      <w:r>
        <w:rPr>
          <w:lang w:val="en-GB"/>
        </w:rPr>
        <w:t xml:space="preserve"> transmission, while there is no extra resource left. In this case, the legacy UE cannot puncture the REs to avoid interfering with the low latency UE </w:t>
      </w:r>
      <w:proofErr w:type="spellStart"/>
      <w:r>
        <w:rPr>
          <w:lang w:val="en-GB"/>
        </w:rPr>
        <w:t>sPUSCH</w:t>
      </w:r>
      <w:proofErr w:type="spellEnd"/>
      <w:r>
        <w:rPr>
          <w:lang w:val="en-GB"/>
        </w:rPr>
        <w:t xml:space="preserve"> transmission. This collision can still be handled if the </w:t>
      </w:r>
      <w:proofErr w:type="spellStart"/>
      <w:r>
        <w:rPr>
          <w:lang w:val="en-GB"/>
        </w:rPr>
        <w:t>eNB</w:t>
      </w:r>
      <w:proofErr w:type="spellEnd"/>
      <w:r>
        <w:rPr>
          <w:lang w:val="en-GB"/>
        </w:rPr>
        <w:t xml:space="preserve"> takes into account the cross interference. The </w:t>
      </w:r>
      <w:proofErr w:type="spellStart"/>
      <w:r>
        <w:rPr>
          <w:lang w:val="en-GB"/>
        </w:rPr>
        <w:t>eNB</w:t>
      </w:r>
      <w:proofErr w:type="spellEnd"/>
      <w:r>
        <w:rPr>
          <w:lang w:val="en-GB"/>
        </w:rPr>
        <w:t xml:space="preserve"> also needs to control the location of </w:t>
      </w:r>
      <w:proofErr w:type="spellStart"/>
      <w:r>
        <w:rPr>
          <w:lang w:val="en-GB"/>
        </w:rPr>
        <w:t>sPUSCH</w:t>
      </w:r>
      <w:proofErr w:type="spellEnd"/>
      <w:r>
        <w:rPr>
          <w:lang w:val="en-GB"/>
        </w:rPr>
        <w:t xml:space="preserve"> to avoid interfering with the legacy UEs DMRS and UCI. The </w:t>
      </w:r>
      <w:proofErr w:type="spellStart"/>
      <w:r>
        <w:rPr>
          <w:lang w:val="en-GB"/>
        </w:rPr>
        <w:t>eNB</w:t>
      </w:r>
      <w:proofErr w:type="spellEnd"/>
      <w:r>
        <w:rPr>
          <w:lang w:val="en-GB"/>
        </w:rPr>
        <w:t xml:space="preserve"> can also control the transmit power and MCS of </w:t>
      </w:r>
      <w:proofErr w:type="spellStart"/>
      <w:r>
        <w:rPr>
          <w:lang w:val="en-GB"/>
        </w:rPr>
        <w:t>sPUSCH</w:t>
      </w:r>
      <w:proofErr w:type="spellEnd"/>
      <w:r>
        <w:rPr>
          <w:lang w:val="en-GB"/>
        </w:rPr>
        <w:t xml:space="preserve"> to handle the interference from legacy PUSCH.</w:t>
      </w:r>
    </w:p>
    <w:p w14:paraId="51CFA7B3" w14:textId="297A1376" w:rsidR="006453B0" w:rsidRPr="006453B0" w:rsidRDefault="006453B0" w:rsidP="006453B0">
      <w:pPr>
        <w:jc w:val="both"/>
        <w:rPr>
          <w:b/>
          <w:lang w:val="en-GB"/>
        </w:rPr>
      </w:pPr>
      <w:bookmarkStart w:id="3" w:name="prop_a"/>
      <w:r w:rsidRPr="00263EA2">
        <w:rPr>
          <w:b/>
          <w:lang w:val="en-GB"/>
        </w:rPr>
        <w:t xml:space="preserve">Proposal </w:t>
      </w:r>
      <w:r w:rsidR="009E75A6">
        <w:rPr>
          <w:b/>
        </w:rPr>
        <w:t>3</w:t>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bookmarkEnd w:id="3"/>
    </w:p>
    <w:p w14:paraId="4E86A4F9" w14:textId="1AE2FD3E" w:rsidR="006034B0" w:rsidRDefault="006034B0" w:rsidP="006034B0">
      <w:pPr>
        <w:pStyle w:val="Heading3"/>
        <w:keepNext/>
        <w:keepLines/>
        <w:numPr>
          <w:ilvl w:val="1"/>
          <w:numId w:val="44"/>
        </w:numPr>
        <w:jc w:val="both"/>
      </w:pPr>
      <w:r>
        <w:t xml:space="preserve">   </w:t>
      </w:r>
      <w:proofErr w:type="spellStart"/>
      <w:proofErr w:type="gramStart"/>
      <w:r w:rsidR="006453B0">
        <w:t>sPUSCH</w:t>
      </w:r>
      <w:proofErr w:type="spellEnd"/>
      <w:proofErr w:type="gramEnd"/>
      <w:r w:rsidR="006453B0">
        <w:t xml:space="preserve"> Resource Allocation</w:t>
      </w:r>
    </w:p>
    <w:p w14:paraId="686D5232" w14:textId="4B49588E" w:rsidR="006453B0" w:rsidRPr="006453B0" w:rsidRDefault="006453B0" w:rsidP="006453B0">
      <w:pPr>
        <w:jc w:val="both"/>
        <w:rPr>
          <w:lang w:val="en-GB"/>
        </w:rPr>
      </w:pPr>
      <w:r>
        <w:rPr>
          <w:lang w:val="en-GB"/>
        </w:rPr>
        <w:t>In [</w:t>
      </w:r>
      <w:r w:rsidR="0040500A">
        <w:rPr>
          <w:lang w:val="en-GB"/>
        </w:rPr>
        <w:t>1</w:t>
      </w:r>
      <w:r>
        <w:rPr>
          <w:lang w:val="en-GB"/>
        </w:rPr>
        <w:t>], we propose</w:t>
      </w:r>
      <w:r w:rsidRPr="006453B0">
        <w:rPr>
          <w:lang w:val="en-GB"/>
        </w:rPr>
        <w:t xml:space="preserve"> to consider </w:t>
      </w:r>
      <w:r w:rsidR="002E3851">
        <w:rPr>
          <w:lang w:val="en-GB"/>
        </w:rPr>
        <w:t>a</w:t>
      </w:r>
      <w:r w:rsidRPr="006453B0">
        <w:rPr>
          <w:lang w:val="en-GB"/>
        </w:rPr>
        <w:t xml:space="preserve"> block-based resou</w:t>
      </w:r>
      <w:r>
        <w:rPr>
          <w:lang w:val="en-GB"/>
        </w:rPr>
        <w:t>rce allocation</w:t>
      </w:r>
      <w:r w:rsidR="002E3851">
        <w:rPr>
          <w:lang w:val="en-GB"/>
        </w:rPr>
        <w:t xml:space="preserve"> scheme</w:t>
      </w:r>
      <w:r>
        <w:rPr>
          <w:lang w:val="en-GB"/>
        </w:rPr>
        <w:t xml:space="preserve"> for </w:t>
      </w:r>
      <w:proofErr w:type="spellStart"/>
      <w:r>
        <w:rPr>
          <w:lang w:val="en-GB"/>
        </w:rPr>
        <w:t>sPDSCH</w:t>
      </w:r>
      <w:proofErr w:type="spellEnd"/>
      <w:r w:rsidRPr="006453B0">
        <w:rPr>
          <w:lang w:val="en-GB"/>
        </w:rPr>
        <w:t xml:space="preserve">. In this section, we consider the concept of block-based resource allocation for </w:t>
      </w:r>
      <w:proofErr w:type="spellStart"/>
      <w:r w:rsidRPr="006453B0">
        <w:rPr>
          <w:lang w:val="en-GB"/>
        </w:rPr>
        <w:t>sPUSCH</w:t>
      </w:r>
      <w:proofErr w:type="spellEnd"/>
      <w:r w:rsidRPr="006453B0">
        <w:rPr>
          <w:lang w:val="en-GB"/>
        </w:rPr>
        <w:t>.</w:t>
      </w:r>
    </w:p>
    <w:p w14:paraId="31B98030" w14:textId="674F89AC" w:rsidR="0084282D" w:rsidRDefault="0084282D" w:rsidP="0084282D">
      <w:pPr>
        <w:jc w:val="both"/>
        <w:rPr>
          <w:lang w:val="en-GB"/>
        </w:rPr>
      </w:pPr>
      <w:r>
        <w:rPr>
          <w:lang w:val="en-GB"/>
        </w:rPr>
        <w:t xml:space="preserve">Similar to the DL design, as the TTI length reduces, the </w:t>
      </w:r>
      <w:proofErr w:type="spellStart"/>
      <w:r w:rsidRPr="00263EA2">
        <w:rPr>
          <w:lang w:val="en-GB"/>
        </w:rPr>
        <w:t>sPUSCH</w:t>
      </w:r>
      <w:proofErr w:type="spellEnd"/>
      <w:r w:rsidRPr="00263EA2">
        <w:rPr>
          <w:lang w:val="en-GB"/>
        </w:rPr>
        <w:t xml:space="preserve"> design should efficiently support multiple </w:t>
      </w:r>
      <w:proofErr w:type="spellStart"/>
      <w:r w:rsidRPr="00263EA2">
        <w:rPr>
          <w:lang w:val="en-GB"/>
        </w:rPr>
        <w:t>sTTI</w:t>
      </w:r>
      <w:proofErr w:type="spellEnd"/>
      <w:r w:rsidRPr="00263EA2">
        <w:rPr>
          <w:lang w:val="en-GB"/>
        </w:rPr>
        <w:t xml:space="preserve"> users accessing the channel simultaneously. Additionally, indication of </w:t>
      </w:r>
      <w:proofErr w:type="spellStart"/>
      <w:r w:rsidRPr="00263EA2">
        <w:rPr>
          <w:lang w:val="en-GB"/>
        </w:rPr>
        <w:t>sPUSCH</w:t>
      </w:r>
      <w:proofErr w:type="spellEnd"/>
      <w:r w:rsidRPr="00263EA2">
        <w:rPr>
          <w:lang w:val="en-GB"/>
        </w:rPr>
        <w:t xml:space="preserve"> resources must be minimized to prevent large </w:t>
      </w:r>
      <w:proofErr w:type="spellStart"/>
      <w:r w:rsidRPr="00263EA2">
        <w:rPr>
          <w:lang w:val="en-GB"/>
        </w:rPr>
        <w:t>sPDCCH</w:t>
      </w:r>
      <w:proofErr w:type="spellEnd"/>
      <w:r w:rsidRPr="00263EA2">
        <w:rPr>
          <w:lang w:val="en-GB"/>
        </w:rPr>
        <w:t xml:space="preserve"> payload resulting in unacceptable control overhead. Allocation of </w:t>
      </w:r>
      <w:proofErr w:type="spellStart"/>
      <w:r w:rsidRPr="00263EA2">
        <w:rPr>
          <w:lang w:val="en-GB"/>
        </w:rPr>
        <w:t>sPUSCH</w:t>
      </w:r>
      <w:proofErr w:type="spellEnd"/>
      <w:r w:rsidRPr="00263EA2">
        <w:rPr>
          <w:lang w:val="en-GB"/>
        </w:rPr>
        <w:t xml:space="preserve"> resources into defined blocks of separate data regions wherein 1 or more users can access either 1, multiple contiguous, or all of the defined </w:t>
      </w:r>
      <w:proofErr w:type="spellStart"/>
      <w:r w:rsidRPr="00263EA2">
        <w:rPr>
          <w:lang w:val="en-GB"/>
        </w:rPr>
        <w:t>sTTI</w:t>
      </w:r>
      <w:proofErr w:type="spellEnd"/>
      <w:r w:rsidRPr="00263EA2">
        <w:rPr>
          <w:lang w:val="en-GB"/>
        </w:rPr>
        <w:t xml:space="preserve"> data blocks</w:t>
      </w:r>
      <w:r>
        <w:rPr>
          <w:lang w:val="en-GB"/>
        </w:rPr>
        <w:t xml:space="preserve"> should be considered</w:t>
      </w:r>
      <w:r w:rsidRPr="00263EA2">
        <w:rPr>
          <w:lang w:val="en-GB"/>
        </w:rPr>
        <w:t>.</w:t>
      </w:r>
      <w:r>
        <w:rPr>
          <w:lang w:val="en-GB"/>
        </w:rPr>
        <w:t xml:space="preserve"> A high level diagram of this structure is shown in </w:t>
      </w:r>
      <w:r>
        <w:rPr>
          <w:lang w:val="en-GB"/>
        </w:rPr>
        <w:fldChar w:fldCharType="begin"/>
      </w:r>
      <w:r>
        <w:rPr>
          <w:lang w:val="en-GB"/>
        </w:rPr>
        <w:instrText xml:space="preserve"> REF _Ref456945734 \h  \* MERGEFORMAT </w:instrText>
      </w:r>
      <w:r>
        <w:rPr>
          <w:lang w:val="en-GB"/>
        </w:rPr>
      </w:r>
      <w:r>
        <w:rPr>
          <w:lang w:val="en-GB"/>
        </w:rPr>
        <w:fldChar w:fldCharType="separate"/>
      </w:r>
      <w:r w:rsidRPr="0096562F">
        <w:t xml:space="preserve">Figure </w:t>
      </w:r>
      <w:r w:rsidRPr="0096562F">
        <w:rPr>
          <w:noProof/>
        </w:rPr>
        <w:t>1</w:t>
      </w:r>
      <w:r>
        <w:rPr>
          <w:lang w:val="en-GB"/>
        </w:rPr>
        <w:fldChar w:fldCharType="end"/>
      </w:r>
      <w:r>
        <w:rPr>
          <w:lang w:val="en-GB"/>
        </w:rPr>
        <w:t xml:space="preserve"> for a 2-symbol </w:t>
      </w:r>
      <w:proofErr w:type="spellStart"/>
      <w:r>
        <w:rPr>
          <w:lang w:val="en-GB"/>
        </w:rPr>
        <w:t>sPUSCH</w:t>
      </w:r>
      <w:proofErr w:type="spellEnd"/>
      <w:r>
        <w:rPr>
          <w:lang w:val="en-GB"/>
        </w:rPr>
        <w:t>. In this figure, four separate blocks are considered.</w:t>
      </w:r>
    </w:p>
    <w:p w14:paraId="401BAA3B" w14:textId="77777777" w:rsidR="0084282D" w:rsidRDefault="0084282D" w:rsidP="0084282D">
      <w:pPr>
        <w:keepNext/>
        <w:jc w:val="center"/>
      </w:pPr>
      <w:r>
        <w:object w:dxaOrig="4558" w:dyaOrig="6596" w14:anchorId="400C44D5">
          <v:shape id="_x0000_i1025" type="#_x0000_t75" style="width:228pt;height:330pt" o:ole="">
            <v:imagedata r:id="rId14" o:title=""/>
          </v:shape>
          <o:OLEObject Type="Embed" ProgID="Visio.Drawing.11" ShapeID="_x0000_i1025" DrawAspect="Content" ObjectID="_1551873856" r:id="rId15"/>
        </w:object>
      </w:r>
    </w:p>
    <w:p w14:paraId="34777EFD" w14:textId="0795ED56" w:rsidR="0084282D" w:rsidRDefault="0084282D" w:rsidP="0084282D">
      <w:pPr>
        <w:pStyle w:val="Caption"/>
        <w:jc w:val="center"/>
      </w:pPr>
      <w:r>
        <w:t xml:space="preserve">Figure </w:t>
      </w:r>
      <w:r w:rsidR="00251E52">
        <w:fldChar w:fldCharType="begin"/>
      </w:r>
      <w:r w:rsidR="00251E52">
        <w:instrText xml:space="preserve"> SEQ Figure \* ARABIC </w:instrText>
      </w:r>
      <w:r w:rsidR="00251E52">
        <w:fldChar w:fldCharType="separate"/>
      </w:r>
      <w:r>
        <w:rPr>
          <w:noProof/>
        </w:rPr>
        <w:t>1</w:t>
      </w:r>
      <w:r w:rsidR="00251E52">
        <w:rPr>
          <w:noProof/>
        </w:rPr>
        <w:fldChar w:fldCharType="end"/>
      </w:r>
      <w:r>
        <w:t>:</w:t>
      </w:r>
      <w:r w:rsidRPr="000F0341">
        <w:t xml:space="preserve"> Block-based resource allocation for </w:t>
      </w:r>
      <w:proofErr w:type="spellStart"/>
      <w:r w:rsidRPr="000F0341">
        <w:t>sPUSCH</w:t>
      </w:r>
      <w:proofErr w:type="spellEnd"/>
      <w:r w:rsidRPr="000F0341">
        <w:t>.</w:t>
      </w:r>
    </w:p>
    <w:p w14:paraId="009D6C07" w14:textId="7668D989" w:rsidR="0084282D" w:rsidRDefault="0084282D" w:rsidP="0084282D">
      <w:pPr>
        <w:jc w:val="both"/>
        <w:rPr>
          <w:lang w:val="en-GB"/>
        </w:rPr>
      </w:pPr>
      <w:r>
        <w:rPr>
          <w:lang w:val="en-GB"/>
        </w:rPr>
        <w:t>In general</w:t>
      </w:r>
      <w:r w:rsidRPr="008C608A">
        <w:rPr>
          <w:lang w:val="en-GB"/>
        </w:rPr>
        <w:t xml:space="preserve">, there can be multiple blocks defined with varying sizes in frequency, and the blocks can be defined to span the whole system bandwidth or a portion of the bandwidth as shown in the figure. In particular, the </w:t>
      </w:r>
      <w:proofErr w:type="spellStart"/>
      <w:r w:rsidRPr="008C608A">
        <w:rPr>
          <w:lang w:val="en-GB"/>
        </w:rPr>
        <w:t>sPUSCH</w:t>
      </w:r>
      <w:proofErr w:type="spellEnd"/>
      <w:r w:rsidRPr="008C608A">
        <w:rPr>
          <w:lang w:val="en-GB"/>
        </w:rPr>
        <w:t xml:space="preserve"> blocks can be configured such that </w:t>
      </w:r>
      <w:proofErr w:type="spellStart"/>
      <w:r w:rsidRPr="008C608A">
        <w:rPr>
          <w:lang w:val="en-GB"/>
        </w:rPr>
        <w:t>sPUSCH</w:t>
      </w:r>
      <w:proofErr w:type="spellEnd"/>
      <w:r w:rsidRPr="008C608A">
        <w:rPr>
          <w:lang w:val="en-GB"/>
        </w:rPr>
        <w:t xml:space="preserve"> resources do not collide with the legacy PUCCH regions and also the new </w:t>
      </w:r>
      <w:proofErr w:type="spellStart"/>
      <w:r w:rsidRPr="008C608A">
        <w:rPr>
          <w:lang w:val="en-GB"/>
        </w:rPr>
        <w:t>sPUCCH</w:t>
      </w:r>
      <w:proofErr w:type="spellEnd"/>
      <w:r w:rsidRPr="008C608A">
        <w:rPr>
          <w:lang w:val="en-GB"/>
        </w:rPr>
        <w:t xml:space="preserve"> format</w:t>
      </w:r>
      <w:r>
        <w:rPr>
          <w:lang w:val="en-GB"/>
        </w:rPr>
        <w:t>s</w:t>
      </w:r>
      <w:r w:rsidRPr="008C608A">
        <w:rPr>
          <w:lang w:val="en-GB"/>
        </w:rPr>
        <w:t xml:space="preserve"> </w:t>
      </w:r>
      <w:r>
        <w:rPr>
          <w:lang w:val="en-GB"/>
        </w:rPr>
        <w:t>carrying small payload sizes</w:t>
      </w:r>
      <w:r w:rsidRPr="008C608A">
        <w:rPr>
          <w:lang w:val="en-GB"/>
        </w:rPr>
        <w:t xml:space="preserve">. Whether the top and bottom CSI format regions are available for </w:t>
      </w:r>
      <w:proofErr w:type="spellStart"/>
      <w:r w:rsidRPr="008C608A">
        <w:rPr>
          <w:lang w:val="en-GB"/>
        </w:rPr>
        <w:t>sPUSCH</w:t>
      </w:r>
      <w:proofErr w:type="spellEnd"/>
      <w:r w:rsidRPr="008C608A">
        <w:rPr>
          <w:lang w:val="en-GB"/>
        </w:rPr>
        <w:t xml:space="preserve"> transmission can be indicated by an addition of a 2</w:t>
      </w:r>
      <w:r w:rsidR="002E3851">
        <w:rPr>
          <w:lang w:val="en-GB"/>
        </w:rPr>
        <w:t>-</w:t>
      </w:r>
      <w:r w:rsidRPr="008C608A">
        <w:rPr>
          <w:lang w:val="en-GB"/>
        </w:rPr>
        <w:t>bit field in the UL.</w:t>
      </w:r>
      <w:r>
        <w:rPr>
          <w:lang w:val="en-GB"/>
        </w:rPr>
        <w:t xml:space="preserve"> </w:t>
      </w:r>
    </w:p>
    <w:p w14:paraId="3245F0EE" w14:textId="77777777" w:rsidR="0084282D" w:rsidRDefault="0084282D" w:rsidP="0084282D">
      <w:pPr>
        <w:jc w:val="both"/>
        <w:rPr>
          <w:lang w:val="en-GB"/>
        </w:rPr>
      </w:pPr>
      <w:r w:rsidRPr="00263EA2">
        <w:rPr>
          <w:lang w:val="en-GB"/>
        </w:rPr>
        <w:t xml:space="preserve">The block structure can be semi-statically defined via higher layer signalling. This allows for a baseline resource structure that (1) does not consume legacy PDCCH or </w:t>
      </w:r>
      <w:proofErr w:type="spellStart"/>
      <w:r w:rsidRPr="00263EA2">
        <w:rPr>
          <w:lang w:val="en-GB"/>
        </w:rPr>
        <w:t>sPDCCH</w:t>
      </w:r>
      <w:proofErr w:type="spellEnd"/>
      <w:r w:rsidRPr="00263EA2">
        <w:rPr>
          <w:lang w:val="en-GB"/>
        </w:rPr>
        <w:t xml:space="preserve"> resource overhead to define, (2) can allow for multiple UEs to access an </w:t>
      </w:r>
      <w:proofErr w:type="spellStart"/>
      <w:r w:rsidRPr="00263EA2">
        <w:rPr>
          <w:lang w:val="en-GB"/>
        </w:rPr>
        <w:t>sTTI</w:t>
      </w:r>
      <w:proofErr w:type="spellEnd"/>
      <w:r w:rsidRPr="00263EA2">
        <w:rPr>
          <w:lang w:val="en-GB"/>
        </w:rPr>
        <w:t xml:space="preserve"> resource at the same time, (3) can allow for a UE to be flexibly allocated a variable allocation of </w:t>
      </w:r>
      <w:proofErr w:type="spellStart"/>
      <w:r w:rsidRPr="00263EA2">
        <w:rPr>
          <w:lang w:val="en-GB"/>
        </w:rPr>
        <w:t>sPUSCH</w:t>
      </w:r>
      <w:proofErr w:type="spellEnd"/>
      <w:r w:rsidRPr="00263EA2">
        <w:rPr>
          <w:lang w:val="en-GB"/>
        </w:rPr>
        <w:t xml:space="preserve"> resources within the same TTI, and (4) can be modified and changed as needed by the </w:t>
      </w:r>
      <w:proofErr w:type="spellStart"/>
      <w:r w:rsidRPr="00263EA2">
        <w:rPr>
          <w:lang w:val="en-GB"/>
        </w:rPr>
        <w:t>eNB</w:t>
      </w:r>
      <w:proofErr w:type="spellEnd"/>
      <w:r w:rsidRPr="00263EA2">
        <w:rPr>
          <w:lang w:val="en-GB"/>
        </w:rPr>
        <w:t xml:space="preserve"> via higher layer signalling.</w:t>
      </w:r>
    </w:p>
    <w:p w14:paraId="4038B0A1" w14:textId="57D70C63" w:rsidR="0084282D" w:rsidRDefault="0084282D" w:rsidP="0084282D">
      <w:pPr>
        <w:jc w:val="both"/>
      </w:pPr>
      <w:r>
        <w:t xml:space="preserve">The </w:t>
      </w:r>
      <w:proofErr w:type="spellStart"/>
      <w:r>
        <w:t>sTTI</w:t>
      </w:r>
      <w:proofErr w:type="spellEnd"/>
      <w:r>
        <w:t xml:space="preserve"> duration is fixed within a block. Within each </w:t>
      </w:r>
      <w:proofErr w:type="spellStart"/>
      <w:r>
        <w:t>sTTI</w:t>
      </w:r>
      <w:proofErr w:type="spellEnd"/>
      <w:r>
        <w:t xml:space="preserve">, the UL grant can assign any </w:t>
      </w:r>
      <w:proofErr w:type="spellStart"/>
      <w:r w:rsidR="00182E9B">
        <w:t>sTTI</w:t>
      </w:r>
      <w:proofErr w:type="spellEnd"/>
      <w:r>
        <w:t xml:space="preserve"> user to any contiguous set of blocks. In general, to ensure low PAPR, it is preferable to avoid assigning a set of non-contiguous blocks to a user. Assuming </w:t>
      </w:r>
      <m:oMath>
        <m:r>
          <w:rPr>
            <w:rFonts w:ascii="Cambria Math" w:hAnsi="Cambria Math"/>
          </w:rPr>
          <m:t>N</m:t>
        </m:r>
      </m:oMath>
      <w:r>
        <w:t xml:space="preserve"> blocks defined over an sTTI, the number of possible contiguous assignments </w:t>
      </w:r>
      <w:proofErr w:type="gramStart"/>
      <w:r>
        <w:t xml:space="preserve">is </w:t>
      </w:r>
      <w:proofErr w:type="gramEnd"/>
      <m:oMath>
        <m:r>
          <w:rPr>
            <w:rFonts w:ascii="Cambria Math" w:hAnsi="Cambria Math"/>
          </w:rPr>
          <m:t>N(N+1)/2</m:t>
        </m:r>
      </m:oMath>
      <w:r>
        <w:t xml:space="preserve">. Hence, overall, </w:t>
      </w:r>
      <m:oMath>
        <m:r>
          <w:rPr>
            <w:rFonts w:ascii="Cambria Math" w:hAnsi="Cambria Math"/>
          </w:rPr>
          <m:t xml:space="preserve"> ceil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N(N+1)/2)</m:t>
            </m:r>
          </m:e>
        </m:func>
        <m:r>
          <w:rPr>
            <w:rFonts w:ascii="Cambria Math" w:hAnsi="Cambria Math"/>
          </w:rPr>
          <m:t xml:space="preserve"> </m:t>
        </m:r>
      </m:oMath>
      <w:r>
        <w:t xml:space="preserve">bits are needed for enabling the block-based resource allocation. As an example, if 4 blocks are considered, 4 bits are needed in the UL grant.  </w:t>
      </w:r>
    </w:p>
    <w:p w14:paraId="59DCF17B" w14:textId="2F6E4213" w:rsidR="0084282D" w:rsidRDefault="0084282D" w:rsidP="0084282D">
      <w:pPr>
        <w:jc w:val="both"/>
      </w:pPr>
      <w:r>
        <w:t xml:space="preserve">Note that for </w:t>
      </w:r>
      <w:r w:rsidR="002E3851">
        <w:t>1-</w:t>
      </w:r>
      <w:r>
        <w:t xml:space="preserve">slot </w:t>
      </w:r>
      <w:proofErr w:type="spellStart"/>
      <w:r>
        <w:t>sTTI</w:t>
      </w:r>
      <w:proofErr w:type="spellEnd"/>
      <w:r>
        <w:t xml:space="preserve">, block based resource allocation may also be adopted, although the block size for slot </w:t>
      </w:r>
      <w:proofErr w:type="spellStart"/>
      <w:r>
        <w:t>sTTI</w:t>
      </w:r>
      <w:proofErr w:type="spellEnd"/>
      <w:r>
        <w:t xml:space="preserve"> and 2-symbol </w:t>
      </w:r>
      <w:proofErr w:type="spellStart"/>
      <w:r>
        <w:t>sTTI</w:t>
      </w:r>
      <w:proofErr w:type="spellEnd"/>
      <w:r>
        <w:t xml:space="preserve"> should generally be different. As an example, the resource allocation granularity for slot </w:t>
      </w:r>
      <w:proofErr w:type="spellStart"/>
      <w:r>
        <w:t>sTTI</w:t>
      </w:r>
      <w:proofErr w:type="spellEnd"/>
      <w:r>
        <w:t xml:space="preserve"> can be double that of the legacy 1-ms TTI based scheduling (e.g., 2-RB based block scheduling).</w:t>
      </w:r>
    </w:p>
    <w:p w14:paraId="0C28EDE1" w14:textId="700312C5" w:rsidR="0084282D" w:rsidRPr="00775094" w:rsidRDefault="0084282D" w:rsidP="0084282D">
      <w:pPr>
        <w:jc w:val="both"/>
        <w:rPr>
          <w:b/>
        </w:rPr>
      </w:pPr>
      <w:r>
        <w:rPr>
          <w:b/>
        </w:rPr>
        <w:t xml:space="preserve">Proposal </w:t>
      </w:r>
      <w:r w:rsidR="009E75A6">
        <w:rPr>
          <w:b/>
        </w:rPr>
        <w:t>4</w:t>
      </w:r>
      <w:r w:rsidRPr="00263EA2">
        <w:rPr>
          <w:b/>
        </w:rPr>
        <w:t xml:space="preserve">: </w:t>
      </w:r>
      <w:r>
        <w:rPr>
          <w:b/>
        </w:rPr>
        <w:t>At least for a</w:t>
      </w:r>
      <w:r w:rsidRPr="00263EA2">
        <w:rPr>
          <w:b/>
        </w:rPr>
        <w:t xml:space="preserve"> 2-symbol </w:t>
      </w:r>
      <w:proofErr w:type="spellStart"/>
      <w:r w:rsidRPr="00263EA2">
        <w:rPr>
          <w:b/>
        </w:rPr>
        <w:t>sPUSCH</w:t>
      </w:r>
      <w:proofErr w:type="spellEnd"/>
      <w:r>
        <w:rPr>
          <w:b/>
        </w:rPr>
        <w:t>,</w:t>
      </w:r>
      <w:r w:rsidRPr="00263EA2">
        <w:rPr>
          <w:b/>
        </w:rPr>
        <w:t xml:space="preserve"> </w:t>
      </w:r>
      <w:r>
        <w:rPr>
          <w:b/>
        </w:rPr>
        <w:t>a</w:t>
      </w:r>
      <w:r w:rsidRPr="00263EA2">
        <w:rPr>
          <w:b/>
        </w:rPr>
        <w:t xml:space="preserve"> block based </w:t>
      </w:r>
      <w:proofErr w:type="spellStart"/>
      <w:r w:rsidRPr="00263EA2">
        <w:rPr>
          <w:b/>
        </w:rPr>
        <w:t>sTTI</w:t>
      </w:r>
      <w:proofErr w:type="spellEnd"/>
      <w:r w:rsidRPr="00263EA2">
        <w:rPr>
          <w:b/>
        </w:rPr>
        <w:t xml:space="preserve"> design should be considered allowing </w:t>
      </w:r>
      <w:proofErr w:type="spellStart"/>
      <w:r w:rsidRPr="00263EA2">
        <w:rPr>
          <w:b/>
        </w:rPr>
        <w:t>eNB</w:t>
      </w:r>
      <w:proofErr w:type="spellEnd"/>
      <w:r w:rsidRPr="00263EA2">
        <w:rPr>
          <w:b/>
        </w:rPr>
        <w:t xml:space="preserve"> to flexibly assign one or more UEs to one or more contiguous </w:t>
      </w:r>
      <w:proofErr w:type="spellStart"/>
      <w:r w:rsidRPr="00263EA2">
        <w:rPr>
          <w:b/>
        </w:rPr>
        <w:t>sTTI</w:t>
      </w:r>
      <w:proofErr w:type="spellEnd"/>
      <w:r w:rsidRPr="00263EA2">
        <w:rPr>
          <w:b/>
        </w:rPr>
        <w:t xml:space="preserve"> blocks.</w:t>
      </w:r>
    </w:p>
    <w:p w14:paraId="592CB7C2" w14:textId="40F4037B" w:rsidR="0084282D" w:rsidRPr="00775094" w:rsidRDefault="0084282D" w:rsidP="0084282D">
      <w:pPr>
        <w:jc w:val="both"/>
        <w:rPr>
          <w:b/>
        </w:rPr>
      </w:pPr>
      <w:r>
        <w:rPr>
          <w:b/>
        </w:rPr>
        <w:t xml:space="preserve">Proposal </w:t>
      </w:r>
      <w:r w:rsidR="009E75A6">
        <w:rPr>
          <w:b/>
        </w:rPr>
        <w:t>5</w:t>
      </w:r>
      <w:r w:rsidRPr="00263EA2">
        <w:rPr>
          <w:b/>
        </w:rPr>
        <w:t xml:space="preserve">: </w:t>
      </w:r>
      <w:r>
        <w:rPr>
          <w:b/>
        </w:rPr>
        <w:t>The block structure can be semi-statically defined via a higher layer signaling.</w:t>
      </w:r>
    </w:p>
    <w:p w14:paraId="2A5732C0" w14:textId="0E2C11DB" w:rsidR="00D6284F" w:rsidRDefault="00D6284F" w:rsidP="00D6284F">
      <w:pPr>
        <w:pStyle w:val="Heading3"/>
        <w:keepNext/>
        <w:keepLines/>
        <w:numPr>
          <w:ilvl w:val="1"/>
          <w:numId w:val="44"/>
        </w:numPr>
        <w:jc w:val="both"/>
      </w:pPr>
      <w:r>
        <w:t xml:space="preserve">   TBS Scaling for </w:t>
      </w:r>
      <w:proofErr w:type="spellStart"/>
      <w:r>
        <w:t>sTTI</w:t>
      </w:r>
      <w:proofErr w:type="spellEnd"/>
      <w:r>
        <w:t xml:space="preserve"> Operation</w:t>
      </w:r>
    </w:p>
    <w:p w14:paraId="1C9A25F8" w14:textId="77777777" w:rsidR="00D6284F" w:rsidRPr="00D6284F" w:rsidRDefault="00D6284F" w:rsidP="00D6284F">
      <w:pPr>
        <w:jc w:val="both"/>
        <w:rPr>
          <w:lang w:val="en-GB"/>
        </w:rPr>
      </w:pPr>
      <w:r w:rsidRPr="00D6284F">
        <w:rPr>
          <w:lang w:val="en-GB"/>
        </w:rPr>
        <w:t xml:space="preserve">As the TTI length reduces, the number of data REs decreases. As a result, a proper TBS resizing is required for both 2-symbol and 1-slot </w:t>
      </w:r>
      <w:proofErr w:type="spellStart"/>
      <w:r w:rsidRPr="00D6284F">
        <w:rPr>
          <w:lang w:val="en-GB"/>
        </w:rPr>
        <w:t>sTTI</w:t>
      </w:r>
      <w:proofErr w:type="spellEnd"/>
      <w:r w:rsidRPr="00D6284F">
        <w:rPr>
          <w:lang w:val="en-GB"/>
        </w:rPr>
        <w:t xml:space="preserve"> operations. One way to do this is to recreate the TBS tables specifically tailored for the 2-symbol </w:t>
      </w:r>
      <w:proofErr w:type="spellStart"/>
      <w:r w:rsidRPr="00D6284F">
        <w:rPr>
          <w:lang w:val="en-GB"/>
        </w:rPr>
        <w:t>sTTI</w:t>
      </w:r>
      <w:proofErr w:type="spellEnd"/>
      <w:r w:rsidRPr="00D6284F">
        <w:rPr>
          <w:lang w:val="en-GB"/>
        </w:rPr>
        <w:t xml:space="preserve"> and 1-slot </w:t>
      </w:r>
      <w:proofErr w:type="spellStart"/>
      <w:r w:rsidRPr="00D6284F">
        <w:rPr>
          <w:lang w:val="en-GB"/>
        </w:rPr>
        <w:t>sTTI</w:t>
      </w:r>
      <w:proofErr w:type="spellEnd"/>
      <w:r w:rsidRPr="00D6284F">
        <w:rPr>
          <w:lang w:val="en-GB"/>
        </w:rPr>
        <w:t xml:space="preserve"> operations. A simpler approach, however, is to scale the PRB sizes such that one can directly use the existing legacy TBS tables. </w:t>
      </w:r>
    </w:p>
    <w:p w14:paraId="60AF6BA4" w14:textId="77777777" w:rsidR="00D6284F" w:rsidRPr="00D6284F" w:rsidRDefault="00D6284F" w:rsidP="00D6284F">
      <w:pPr>
        <w:jc w:val="both"/>
        <w:rPr>
          <w:lang w:val="en-GB"/>
        </w:rPr>
      </w:pPr>
      <w:r w:rsidRPr="00D6284F">
        <w:rPr>
          <w:lang w:val="en-GB"/>
        </w:rPr>
        <w:lastRenderedPageBreak/>
        <w:t xml:space="preserve">In the UL, the number of REs within 1 PRB of a 2-symbol </w:t>
      </w:r>
      <w:proofErr w:type="spellStart"/>
      <w:r w:rsidRPr="00D6284F">
        <w:rPr>
          <w:lang w:val="en-GB"/>
        </w:rPr>
        <w:t>sTTI</w:t>
      </w:r>
      <w:proofErr w:type="spellEnd"/>
      <w:r w:rsidRPr="00D6284F">
        <w:rPr>
          <w:lang w:val="en-GB"/>
        </w:rPr>
        <w:t xml:space="preserve"> is approximately 6 times smaller than that of the 1ms TTI. Hence, in order to reuse the existing TBS tables, the number of PRBs used for a 2-symbol </w:t>
      </w:r>
      <w:proofErr w:type="spellStart"/>
      <w:r w:rsidRPr="00D6284F">
        <w:rPr>
          <w:lang w:val="en-GB"/>
        </w:rPr>
        <w:t>sTTI</w:t>
      </w:r>
      <w:proofErr w:type="spellEnd"/>
      <w:r w:rsidRPr="00D6284F">
        <w:rPr>
          <w:lang w:val="en-GB"/>
        </w:rPr>
        <w:t xml:space="preserve"> operation should be divided by 6 in order to obtain the number of PRBs to be looked at in the TBS tables. As a result, we have: </w:t>
      </w:r>
    </w:p>
    <w:p w14:paraId="44C15688" w14:textId="77777777"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 </w:t>
      </w:r>
      <w:r w:rsidRPr="00263EA2">
        <w:rPr>
          <w:lang w:val="en-GB"/>
        </w:rPr>
        <w:sym w:font="Symbol" w:char="F0EB"/>
      </w:r>
      <w:r w:rsidRPr="00D6284F">
        <w:rPr>
          <w:lang w:val="en-GB"/>
        </w:rPr>
        <w:t>#PRB_2sym_sTTI / 6</w:t>
      </w:r>
      <w:r w:rsidRPr="00263EA2">
        <w:rPr>
          <w:lang w:val="en-GB"/>
        </w:rPr>
        <w:sym w:font="Symbol" w:char="F0FB"/>
      </w:r>
      <w:r w:rsidRPr="00D6284F">
        <w:rPr>
          <w:lang w:val="en-GB"/>
        </w:rPr>
        <w:t>, 1).</w:t>
      </w:r>
    </w:p>
    <w:p w14:paraId="48218515" w14:textId="77777777" w:rsidR="00D6284F" w:rsidRPr="00D6284F" w:rsidRDefault="00D6284F" w:rsidP="00D6284F">
      <w:pPr>
        <w:jc w:val="both"/>
        <w:rPr>
          <w:lang w:val="en-GB"/>
        </w:rPr>
      </w:pPr>
      <w:r w:rsidRPr="00D6284F">
        <w:rPr>
          <w:lang w:val="en-GB"/>
        </w:rPr>
        <w:t xml:space="preserve">Another important aspect to consider is that under the 2-symbol </w:t>
      </w:r>
      <w:proofErr w:type="spellStart"/>
      <w:r w:rsidRPr="00D6284F">
        <w:rPr>
          <w:lang w:val="en-GB"/>
        </w:rPr>
        <w:t>sTTI</w:t>
      </w:r>
      <w:proofErr w:type="spellEnd"/>
      <w:r w:rsidRPr="00D6284F">
        <w:rPr>
          <w:lang w:val="en-GB"/>
        </w:rPr>
        <w:t xml:space="preserve"> operation, there are different data and pilot configurations. First, in order to keep the soft buffer management as well as the processing timeline fixed, the above equation should also be used in a case of a 3-symbol </w:t>
      </w:r>
      <w:proofErr w:type="spellStart"/>
      <w:r w:rsidRPr="00D6284F">
        <w:rPr>
          <w:lang w:val="en-GB"/>
        </w:rPr>
        <w:t>sTTI</w:t>
      </w:r>
      <w:proofErr w:type="spellEnd"/>
      <w:r w:rsidRPr="00D6284F">
        <w:rPr>
          <w:lang w:val="en-GB"/>
        </w:rPr>
        <w:t xml:space="preserve">. When there is one data symbol and one DMRS symbol within a 2-symbol </w:t>
      </w:r>
      <w:proofErr w:type="spellStart"/>
      <w:r w:rsidRPr="00D6284F">
        <w:rPr>
          <w:lang w:val="en-GB"/>
        </w:rPr>
        <w:t>sTTI</w:t>
      </w:r>
      <w:proofErr w:type="spellEnd"/>
      <w:r w:rsidRPr="00D6284F">
        <w:rPr>
          <w:lang w:val="en-GB"/>
        </w:rPr>
        <w:t xml:space="preserve">, the number of PRBs can be scaled down by an additional factor of 2 such that the effective code rate is normalized between the 1 and 2 data symbol cases. Hence, we have: </w:t>
      </w:r>
    </w:p>
    <w:p w14:paraId="48FB6320" w14:textId="77777777"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 </w:t>
      </w:r>
      <w:r w:rsidRPr="00263EA2">
        <w:rPr>
          <w:lang w:val="en-GB"/>
        </w:rPr>
        <w:sym w:font="Symbol" w:char="F0EB"/>
      </w:r>
      <w:r w:rsidRPr="00D6284F">
        <w:rPr>
          <w:lang w:val="en-GB"/>
        </w:rPr>
        <w:t>#PRB_2sym_sTTI / 12</w:t>
      </w:r>
      <w:r w:rsidRPr="00263EA2">
        <w:rPr>
          <w:lang w:val="en-GB"/>
        </w:rPr>
        <w:sym w:font="Symbol" w:char="F0FB"/>
      </w:r>
      <w:r w:rsidRPr="00D6284F">
        <w:rPr>
          <w:lang w:val="en-GB"/>
        </w:rPr>
        <w:t>, 1).</w:t>
      </w:r>
    </w:p>
    <w:p w14:paraId="6F169D10" w14:textId="77777777" w:rsidR="00D6284F" w:rsidRPr="00D6284F" w:rsidRDefault="00D6284F" w:rsidP="00D6284F">
      <w:pPr>
        <w:rPr>
          <w:lang w:val="en-GB"/>
        </w:rPr>
      </w:pPr>
      <w:r w:rsidRPr="00D6284F">
        <w:rPr>
          <w:lang w:val="en-GB"/>
        </w:rPr>
        <w:t xml:space="preserve">Similarly, since the number of REs per 1RB of a 1-slot </w:t>
      </w:r>
      <w:proofErr w:type="spellStart"/>
      <w:r w:rsidRPr="00D6284F">
        <w:rPr>
          <w:lang w:val="en-GB"/>
        </w:rPr>
        <w:t>sTTI</w:t>
      </w:r>
      <w:proofErr w:type="spellEnd"/>
      <w:r w:rsidRPr="00D6284F">
        <w:rPr>
          <w:lang w:val="en-GB"/>
        </w:rPr>
        <w:t xml:space="preserve"> is half the number of REs in one RB of a 1ms TTI, we propose to have:</w:t>
      </w:r>
    </w:p>
    <w:p w14:paraId="42159095" w14:textId="4C8DCE5B" w:rsidR="00D6284F" w:rsidRPr="00D6284F" w:rsidRDefault="00D6284F" w:rsidP="00D6284F">
      <w:pPr>
        <w:jc w:val="center"/>
        <w:rPr>
          <w:lang w:val="en-GB"/>
        </w:rPr>
      </w:pPr>
      <w:r w:rsidRPr="00D6284F">
        <w:rPr>
          <w:lang w:val="en-GB"/>
        </w:rPr>
        <w:t>#</w:t>
      </w:r>
      <w:proofErr w:type="gramStart"/>
      <w:r w:rsidRPr="00D6284F">
        <w:rPr>
          <w:lang w:val="en-GB"/>
        </w:rPr>
        <w:t>PRB  =</w:t>
      </w:r>
      <w:proofErr w:type="gramEnd"/>
      <w:r w:rsidRPr="00D6284F">
        <w:rPr>
          <w:lang w:val="en-GB"/>
        </w:rPr>
        <w:t xml:space="preserve"> max(</w:t>
      </w:r>
      <w:r w:rsidRPr="00263EA2">
        <w:rPr>
          <w:lang w:val="en-GB"/>
        </w:rPr>
        <w:sym w:font="Symbol" w:char="F0EB"/>
      </w:r>
      <w:r w:rsidRPr="00D6284F">
        <w:rPr>
          <w:lang w:val="en-GB"/>
        </w:rPr>
        <w:t>#</w:t>
      </w:r>
      <w:proofErr w:type="spellStart"/>
      <w:r w:rsidRPr="00D6284F">
        <w:rPr>
          <w:lang w:val="en-GB"/>
        </w:rPr>
        <w:t>PRB_slot_sTTI</w:t>
      </w:r>
      <w:proofErr w:type="spellEnd"/>
      <w:r w:rsidRPr="00D6284F">
        <w:rPr>
          <w:lang w:val="en-GB"/>
        </w:rPr>
        <w:t xml:space="preserve"> / 2</w:t>
      </w:r>
      <w:r w:rsidRPr="00263EA2">
        <w:rPr>
          <w:lang w:val="en-GB"/>
        </w:rPr>
        <w:sym w:font="Symbol" w:char="F0FB"/>
      </w:r>
      <w:r w:rsidRPr="00D6284F">
        <w:rPr>
          <w:lang w:val="en-GB"/>
        </w:rPr>
        <w:t>, 1).</w:t>
      </w:r>
    </w:p>
    <w:p w14:paraId="43E7B0CC" w14:textId="6C365F85" w:rsidR="006453B0" w:rsidRPr="006453B0" w:rsidRDefault="00C82052" w:rsidP="00F53F03">
      <w:pPr>
        <w:jc w:val="both"/>
        <w:rPr>
          <w:lang w:val="en-GB"/>
        </w:rPr>
      </w:pPr>
      <w:r>
        <w:rPr>
          <w:b/>
          <w:lang w:val="en-GB"/>
        </w:rPr>
        <w:t xml:space="preserve">Proposal </w:t>
      </w:r>
      <w:r w:rsidR="009E75A6">
        <w:rPr>
          <w:b/>
          <w:lang w:val="en-GB"/>
        </w:rPr>
        <w:t>6</w:t>
      </w:r>
      <w:r w:rsidRPr="00093618">
        <w:rPr>
          <w:b/>
          <w:lang w:val="en-GB"/>
        </w:rPr>
        <w:t>: Fo</w:t>
      </w:r>
      <w:r>
        <w:rPr>
          <w:b/>
          <w:lang w:val="en-GB"/>
        </w:rPr>
        <w:t>r TBS sizing of the 2-symbol and 1-</w:t>
      </w:r>
      <w:r w:rsidRPr="00093618">
        <w:rPr>
          <w:b/>
          <w:lang w:val="en-GB"/>
        </w:rPr>
        <w:t xml:space="preserve">slot </w:t>
      </w:r>
      <w:proofErr w:type="spellStart"/>
      <w:r w:rsidRPr="00093618">
        <w:rPr>
          <w:b/>
          <w:lang w:val="en-GB"/>
        </w:rPr>
        <w:t>sTTIs</w:t>
      </w:r>
      <w:proofErr w:type="spellEnd"/>
      <w:r>
        <w:rPr>
          <w:b/>
          <w:lang w:val="en-GB"/>
        </w:rPr>
        <w:t>,</w:t>
      </w:r>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2427E2A2" w:rsidR="00A637AF" w:rsidRDefault="008F3A8D" w:rsidP="00FB578A">
      <w:pPr>
        <w:jc w:val="both"/>
        <w:rPr>
          <w:lang w:val="en-GB"/>
        </w:rPr>
      </w:pPr>
      <w:r w:rsidRPr="008F3A8D">
        <w:rPr>
          <w:lang w:val="en-GB"/>
        </w:rPr>
        <w:t xml:space="preserve">In legacy LTE, depending on the configured transmission mode, up to 2 CWs and </w:t>
      </w:r>
      <w:r w:rsidR="00C82052">
        <w:rPr>
          <w:lang w:val="en-GB"/>
        </w:rPr>
        <w:t>4</w:t>
      </w:r>
      <w:r w:rsidRPr="008F3A8D">
        <w:rPr>
          <w:lang w:val="en-GB"/>
        </w:rPr>
        <w:t xml:space="preserve"> layers can be supported</w:t>
      </w:r>
      <w:r w:rsidR="00C82052">
        <w:rPr>
          <w:lang w:val="en-GB"/>
        </w:rPr>
        <w:t xml:space="preserve"> in t</w:t>
      </w:r>
      <w:r w:rsidR="002E3851">
        <w:rPr>
          <w:lang w:val="en-GB"/>
        </w:rPr>
        <w:t>he uplink. For each CW, MCS and</w:t>
      </w:r>
      <w:r w:rsidRPr="008F3A8D">
        <w:rPr>
          <w:lang w:val="en-GB"/>
        </w:rPr>
        <w:t xml:space="preserve"> NDI bit fields are considered in the DCI. </w:t>
      </w:r>
    </w:p>
    <w:p w14:paraId="5D25CBEE" w14:textId="1249D6FE" w:rsidR="008F3A8D" w:rsidRDefault="008F3A8D" w:rsidP="00FB578A">
      <w:pPr>
        <w:jc w:val="both"/>
        <w:rPr>
          <w:lang w:val="en-GB"/>
        </w:rPr>
      </w:pPr>
      <w:r>
        <w:rPr>
          <w:lang w:val="en-GB"/>
        </w:rPr>
        <w:t xml:space="preserve">In a low latency operation, due to the fact that resources are limited, it is essential to reduce the control signalling overhead. One way to do this is to limit the number of supportable CWs to only 1. </w:t>
      </w:r>
      <w:r w:rsidR="00C82052">
        <w:rPr>
          <w:lang w:val="en-GB"/>
        </w:rPr>
        <w:t>Hence</w:t>
      </w:r>
      <w:r>
        <w:rPr>
          <w:lang w:val="en-GB"/>
        </w:rPr>
        <w:t>, we have:</w:t>
      </w:r>
    </w:p>
    <w:p w14:paraId="2ACC8F9E" w14:textId="7CFB6959" w:rsidR="008F3A8D" w:rsidRPr="008F3A8D" w:rsidRDefault="008F3A8D" w:rsidP="00FB578A">
      <w:pPr>
        <w:jc w:val="both"/>
        <w:rPr>
          <w:b/>
          <w:lang w:val="en-GB"/>
        </w:rPr>
      </w:pPr>
      <w:r w:rsidRPr="008F3A8D">
        <w:rPr>
          <w:b/>
          <w:lang w:val="en-GB"/>
        </w:rPr>
        <w:t xml:space="preserve">Proposal </w:t>
      </w:r>
      <w:r w:rsidR="009E75A6">
        <w:rPr>
          <w:b/>
          <w:lang w:val="en-GB"/>
        </w:rPr>
        <w:t>7</w:t>
      </w:r>
      <w:r w:rsidRPr="008F3A8D">
        <w:rPr>
          <w:b/>
          <w:lang w:val="en-GB"/>
        </w:rPr>
        <w:t xml:space="preserve">: </w:t>
      </w:r>
      <w:r w:rsidR="00C03FFF">
        <w:rPr>
          <w:b/>
          <w:lang w:val="en-GB"/>
        </w:rPr>
        <w:t>Support</w:t>
      </w:r>
      <w:r w:rsidRPr="008F3A8D">
        <w:rPr>
          <w:b/>
          <w:lang w:val="en-GB"/>
        </w:rPr>
        <w:t xml:space="preserve"> only 1 CW per CC under the </w:t>
      </w:r>
      <w:proofErr w:type="spellStart"/>
      <w:r w:rsidRPr="008F3A8D">
        <w:rPr>
          <w:b/>
          <w:lang w:val="en-GB"/>
        </w:rPr>
        <w:t>sTTI</w:t>
      </w:r>
      <w:proofErr w:type="spellEnd"/>
      <w:r w:rsidRPr="008F3A8D">
        <w:rPr>
          <w:b/>
          <w:lang w:val="en-GB"/>
        </w:rPr>
        <w:t xml:space="preserve"> operation.</w:t>
      </w:r>
    </w:p>
    <w:p w14:paraId="78BF1EC4" w14:textId="5B14D5DA" w:rsidR="008F3A8D" w:rsidRPr="008F3A8D" w:rsidRDefault="00C82052" w:rsidP="00FB578A">
      <w:pPr>
        <w:jc w:val="both"/>
        <w:rPr>
          <w:lang w:val="en-GB"/>
        </w:rPr>
      </w:pPr>
      <w:r>
        <w:rPr>
          <w:lang w:val="en-GB"/>
        </w:rPr>
        <w:t xml:space="preserve">Similar to the legacy approach, for both 2x2 and 4x4 MIMO scenarios, when the number of CWs is set to 1, up to 2 layers can be supported in the uplink. Hence, for the </w:t>
      </w:r>
      <w:proofErr w:type="spellStart"/>
      <w:r>
        <w:rPr>
          <w:lang w:val="en-GB"/>
        </w:rPr>
        <w:t>sTTI</w:t>
      </w:r>
      <w:proofErr w:type="spellEnd"/>
      <w:r>
        <w:rPr>
          <w:lang w:val="en-GB"/>
        </w:rPr>
        <w:t xml:space="preserve"> operation, we propose:</w:t>
      </w:r>
      <w:r w:rsidR="008F3A8D" w:rsidRPr="008F3A8D">
        <w:rPr>
          <w:lang w:val="en-GB"/>
        </w:rPr>
        <w:t xml:space="preserve"> </w:t>
      </w:r>
    </w:p>
    <w:p w14:paraId="1C48BE3A" w14:textId="7976E8BF" w:rsidR="00C82052" w:rsidRDefault="00DE736E" w:rsidP="00FB578A">
      <w:pPr>
        <w:jc w:val="both"/>
        <w:rPr>
          <w:b/>
          <w:lang w:val="en-GB"/>
        </w:rPr>
      </w:pPr>
      <w:r>
        <w:rPr>
          <w:b/>
          <w:lang w:val="en-GB"/>
        </w:rPr>
        <w:t xml:space="preserve">Proposal </w:t>
      </w:r>
      <w:r w:rsidR="009E75A6">
        <w:rPr>
          <w:b/>
          <w:lang w:val="en-GB"/>
        </w:rPr>
        <w:t>8</w:t>
      </w:r>
      <w:r>
        <w:rPr>
          <w:b/>
          <w:lang w:val="en-GB"/>
        </w:rPr>
        <w:t xml:space="preserve">: The maximum number of layers </w:t>
      </w:r>
      <w:r w:rsidR="00C03FFF">
        <w:rPr>
          <w:b/>
          <w:lang w:val="en-GB"/>
        </w:rPr>
        <w:t>is</w:t>
      </w:r>
      <w:r>
        <w:rPr>
          <w:b/>
          <w:lang w:val="en-GB"/>
        </w:rPr>
        <w:t xml:space="preserve"> </w:t>
      </w:r>
      <w:r w:rsidR="00C82052">
        <w:rPr>
          <w:b/>
          <w:lang w:val="en-GB"/>
        </w:rPr>
        <w:t>2 in the uplink of a low latency system</w:t>
      </w:r>
      <w:r>
        <w:rPr>
          <w:b/>
          <w:lang w:val="en-GB"/>
        </w:rPr>
        <w:t>.</w:t>
      </w:r>
    </w:p>
    <w:p w14:paraId="3D273A0A" w14:textId="5D557426" w:rsidR="00C82052" w:rsidRDefault="00C82052" w:rsidP="00C82052">
      <w:pPr>
        <w:pStyle w:val="Heading3"/>
        <w:keepNext/>
        <w:keepLines/>
        <w:numPr>
          <w:ilvl w:val="1"/>
          <w:numId w:val="44"/>
        </w:numPr>
        <w:jc w:val="both"/>
      </w:pPr>
      <w:r>
        <w:t xml:space="preserve">   UL MIMO Considerations for 1-Slot TTI Operation</w:t>
      </w:r>
    </w:p>
    <w:p w14:paraId="741A8F8A" w14:textId="18FA5072" w:rsidR="0086578F" w:rsidRDefault="0086578F" w:rsidP="0086578F">
      <w:pPr>
        <w:jc w:val="both"/>
        <w:rPr>
          <w:lang w:val="en-GB"/>
        </w:rPr>
      </w:pPr>
      <w:r>
        <w:rPr>
          <w:lang w:val="en-GB"/>
        </w:rPr>
        <w:t xml:space="preserve">Starting from Rel-10, the UE can support SU-MIMO transmission of up to 4 layers. Additionally, the </w:t>
      </w:r>
      <w:proofErr w:type="spellStart"/>
      <w:r>
        <w:rPr>
          <w:lang w:val="en-GB"/>
        </w:rPr>
        <w:t>eNB</w:t>
      </w:r>
      <w:proofErr w:type="spellEnd"/>
      <w:r>
        <w:rPr>
          <w:lang w:val="en-GB"/>
        </w:rPr>
        <w:t xml:space="preserve"> can configure multiple UEs to transmit in an MU-MIMO configuration on resources that are either overlapping fully or partially overlapping in PRB assignment. To preserve orthogonality between different layers, one may use different cyclic shifts. Additionally, one may use different cyclic shifts across MU-MIMO users to preserve orthogonality, but only if the PUSCH allocations are fully overlapping. However, </w:t>
      </w:r>
      <w:r w:rsidRPr="00263EA2">
        <w:rPr>
          <w:lang w:val="en-GB"/>
        </w:rPr>
        <w:t>for the partially overlapping case, different cyclic shifts no longer preserve orthogonality across users. The addition of an orthogonal cover code (OCC) across two DMRS t</w:t>
      </w:r>
      <w:r w:rsidR="008839EA">
        <w:rPr>
          <w:lang w:val="en-GB"/>
        </w:rPr>
        <w:t>ransmissions can enable</w:t>
      </w:r>
      <w:r w:rsidRPr="00263EA2">
        <w:rPr>
          <w:lang w:val="en-GB"/>
        </w:rPr>
        <w:t xml:space="preserve"> MU-MIMO transmissions.</w:t>
      </w:r>
      <w:r>
        <w:rPr>
          <w:lang w:val="en-GB"/>
        </w:rPr>
        <w:t xml:space="preserve"> </w:t>
      </w:r>
      <w:r w:rsidRPr="00263EA2">
        <w:rPr>
          <w:lang w:val="en-GB"/>
        </w:rPr>
        <w:t xml:space="preserve">If we consider </w:t>
      </w:r>
      <w:proofErr w:type="gramStart"/>
      <w:r w:rsidRPr="00263EA2">
        <w:rPr>
          <w:lang w:val="en-GB"/>
        </w:rPr>
        <w:t>an</w:t>
      </w:r>
      <w:proofErr w:type="gramEnd"/>
      <w:r w:rsidRPr="00263EA2">
        <w:rPr>
          <w:lang w:val="en-GB"/>
        </w:rPr>
        <w:t xml:space="preserve"> </w:t>
      </w:r>
      <w:proofErr w:type="spellStart"/>
      <w:r w:rsidRPr="00263EA2">
        <w:rPr>
          <w:lang w:val="en-GB"/>
        </w:rPr>
        <w:t>sTTI</w:t>
      </w:r>
      <w:proofErr w:type="spellEnd"/>
      <w:r w:rsidRPr="00263EA2">
        <w:rPr>
          <w:lang w:val="en-GB"/>
        </w:rPr>
        <w:t xml:space="preserve"> of 1 slot duration, this scheme no longer works as there is only 1 DMRS transmission. To enable MU-MIMO transmissions for partially overlapping PUSCH transmissions for a 1 slot </w:t>
      </w:r>
      <w:proofErr w:type="spellStart"/>
      <w:r w:rsidRPr="00263EA2">
        <w:rPr>
          <w:lang w:val="en-GB"/>
        </w:rPr>
        <w:t>sTTI</w:t>
      </w:r>
      <w:proofErr w:type="spellEnd"/>
      <w:r w:rsidRPr="00263EA2">
        <w:rPr>
          <w:lang w:val="en-GB"/>
        </w:rPr>
        <w:t>, we consider an alternative method that provides orthogonality between users.</w:t>
      </w:r>
    </w:p>
    <w:p w14:paraId="3A0186A9" w14:textId="1A4DA9F0" w:rsidR="0086578F" w:rsidRDefault="0086578F" w:rsidP="0086578F">
      <w:pPr>
        <w:jc w:val="both"/>
      </w:pPr>
      <w:r>
        <w:t xml:space="preserve">For a 1-slot </w:t>
      </w:r>
      <w:proofErr w:type="spellStart"/>
      <w:r>
        <w:t>sPUSCH</w:t>
      </w:r>
      <w:proofErr w:type="spellEnd"/>
      <w:r>
        <w:t>, there is only a single DMRS transmission. Hence, orthogonality between the orthogonal code covers is no longer relevant</w:t>
      </w:r>
      <w:r w:rsidR="008839EA">
        <w:t>. For the 1-</w:t>
      </w:r>
      <w:r>
        <w:t xml:space="preserve">slot </w:t>
      </w:r>
      <w:proofErr w:type="spellStart"/>
      <w:r>
        <w:t>sTTI</w:t>
      </w:r>
      <w:proofErr w:type="spellEnd"/>
      <w:r>
        <w:t xml:space="preserve"> users, they may still use separate cyclic shifts to preserve orthogonality across layers or across an MU-MIMO transmission where users have fully overlapping PUSCH transmissions. For the case of MU-MIMO PUSCH transmissions where the users are partially overlapping, the following can be considered:</w:t>
      </w:r>
    </w:p>
    <w:p w14:paraId="6797E007" w14:textId="1B4E7DFF" w:rsidR="0086578F" w:rsidRDefault="0086578F" w:rsidP="0086578F">
      <w:pPr>
        <w:numPr>
          <w:ilvl w:val="0"/>
          <w:numId w:val="48"/>
        </w:numPr>
        <w:jc w:val="both"/>
        <w:textAlignment w:val="auto"/>
        <w:rPr>
          <w:lang w:val="en-GB"/>
        </w:rPr>
      </w:pPr>
      <w:r w:rsidRPr="00263EA2">
        <w:t>An interlaced comb structure for the DMRS similar to the construction of an SRS can be considered. By</w:t>
      </w:r>
      <w:r>
        <w:t xml:space="preserve"> splitting the cyclic shifts across two combs, an even comb and an odd comb, the DMRS resources can be split orthogonally even if they occupy partially overlapping resources. This will allow 1-slot TTI users to access partially overlapping PUSCH resources </w:t>
      </w:r>
      <w:r w:rsidR="004E6D61">
        <w:t>with no DMRS interference,</w:t>
      </w:r>
      <w:r>
        <w:t xml:space="preserve"> while still preserving SC-FDMA waveform properties. Note that such a feature is already agreed to be supported in Rel-14 as part of </w:t>
      </w:r>
      <w:proofErr w:type="spellStart"/>
      <w:r>
        <w:t>eFD</w:t>
      </w:r>
      <w:proofErr w:type="spellEnd"/>
      <w:r>
        <w:t xml:space="preserve">-MIMO WID. </w:t>
      </w:r>
      <w:r>
        <w:rPr>
          <w:lang w:val="en-GB"/>
        </w:rPr>
        <w:t>This type of implementation allows for flexibility between SU-MIMO single UE transmissions supporting a full comb DMRS structure supporting a 4 layer transmission as well as a multiple UE MU-MIMO configuration supporting separated even and odd comb structures</w:t>
      </w:r>
      <w:r w:rsidR="004E6D61">
        <w:rPr>
          <w:lang w:val="en-GB"/>
        </w:rPr>
        <w:t>,</w:t>
      </w:r>
      <w:r>
        <w:rPr>
          <w:lang w:val="en-GB"/>
        </w:rPr>
        <w:t xml:space="preserve"> while maintaining DMRS orthogonality across UEs. Additionally, it is possible to maintain the orthogonality between a slot-based </w:t>
      </w:r>
      <w:proofErr w:type="spellStart"/>
      <w:r>
        <w:rPr>
          <w:lang w:val="en-GB"/>
        </w:rPr>
        <w:t>sTTI</w:t>
      </w:r>
      <w:proofErr w:type="spellEnd"/>
      <w:r>
        <w:rPr>
          <w:lang w:val="en-GB"/>
        </w:rPr>
        <w:t xml:space="preserve"> user and a legacy </w:t>
      </w:r>
      <w:proofErr w:type="spellStart"/>
      <w:r>
        <w:rPr>
          <w:lang w:val="en-GB"/>
        </w:rPr>
        <w:t>Rel</w:t>
      </w:r>
      <w:proofErr w:type="spellEnd"/>
      <w:r>
        <w:rPr>
          <w:lang w:val="en-GB"/>
        </w:rPr>
        <w:t xml:space="preserve"> 14 UE, and a MU-MIMO </w:t>
      </w:r>
      <w:r>
        <w:rPr>
          <w:lang w:val="en-GB"/>
        </w:rPr>
        <w:lastRenderedPageBreak/>
        <w:t xml:space="preserve">configuration can be supported with partially overlapping resources between the two users. In Rel-14, UEs can be configured with a decimated DMRS comb structure, so if the two users pick different decimated DMRS combs (one even and the other odd), then orthogonality of the DMRS transmissions is preserved. </w:t>
      </w:r>
    </w:p>
    <w:p w14:paraId="487A5631" w14:textId="77777777" w:rsidR="0086578F" w:rsidRDefault="0086578F" w:rsidP="0086578F">
      <w:pPr>
        <w:numPr>
          <w:ilvl w:val="0"/>
          <w:numId w:val="48"/>
        </w:numPr>
        <w:jc w:val="both"/>
        <w:textAlignment w:val="auto"/>
      </w:pPr>
      <w:r w:rsidRPr="00263EA2">
        <w:t>OCC-based DM-RS when there are back-to-back slot TTI transmissions for a UE.</w:t>
      </w:r>
      <w:r>
        <w:t xml:space="preserve"> This implies that a UE may still follow a certain OCC code, similar to the 1-ms TTI case, for 1-slot </w:t>
      </w:r>
      <w:proofErr w:type="spellStart"/>
      <w:r>
        <w:t>sPUSCH</w:t>
      </w:r>
      <w:proofErr w:type="spellEnd"/>
      <w:r>
        <w:t xml:space="preserve"> transmission. Such OCC based approach makes it possible to perform partially overlapped MU-MIMO between 1-ms TTI PUSCH and 1-slot TTI PUSCH, and within 1-slot TTI </w:t>
      </w:r>
      <w:proofErr w:type="spellStart"/>
      <w:r>
        <w:t>sPUSCH</w:t>
      </w:r>
      <w:proofErr w:type="spellEnd"/>
      <w:r>
        <w:t xml:space="preserve"> transmissions.</w:t>
      </w:r>
    </w:p>
    <w:p w14:paraId="184973FD" w14:textId="77777777" w:rsidR="0086578F" w:rsidRDefault="0086578F" w:rsidP="0086578F">
      <w:pPr>
        <w:jc w:val="both"/>
      </w:pPr>
      <w:r>
        <w:t>Thus, we propose:</w:t>
      </w:r>
    </w:p>
    <w:p w14:paraId="54F370C0" w14:textId="61CBD681" w:rsidR="0086578F" w:rsidRPr="00BA2042" w:rsidRDefault="0086578F" w:rsidP="0086578F">
      <w:pPr>
        <w:jc w:val="both"/>
        <w:textAlignment w:val="auto"/>
        <w:rPr>
          <w:b/>
          <w:lang w:val="en-GB"/>
        </w:rPr>
      </w:pPr>
      <w:r>
        <w:rPr>
          <w:b/>
          <w:lang w:val="en-GB"/>
        </w:rPr>
        <w:t xml:space="preserve">Proposal </w:t>
      </w:r>
      <w:r w:rsidR="009E75A6">
        <w:rPr>
          <w:b/>
          <w:lang w:val="en-GB"/>
        </w:rPr>
        <w:t>9</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2C4DBBB8" w14:textId="77777777" w:rsidR="00C82052" w:rsidRPr="00F811B1" w:rsidRDefault="00C82052" w:rsidP="00FB578A">
      <w:pPr>
        <w:jc w:val="both"/>
        <w:rPr>
          <w:b/>
          <w:lang w:val="en-GB"/>
        </w:rPr>
      </w:pPr>
    </w:p>
    <w:p w14:paraId="2F77E7C7" w14:textId="4DF6826E" w:rsidR="00491EEE" w:rsidRDefault="00C82052" w:rsidP="00843B71">
      <w:pPr>
        <w:pStyle w:val="Heading1"/>
        <w:jc w:val="both"/>
      </w:pPr>
      <w:r>
        <w:t>3</w:t>
      </w:r>
      <w:r w:rsidR="00491EEE" w:rsidRPr="00E05A22">
        <w:tab/>
        <w:t xml:space="preserve">Conclusions </w:t>
      </w:r>
    </w:p>
    <w:p w14:paraId="576C8B4E" w14:textId="1545FE85" w:rsidR="009E75A6" w:rsidRDefault="009E75A6" w:rsidP="00F53F03">
      <w:pPr>
        <w:rPr>
          <w:b/>
          <w:lang w:val="en-GB"/>
        </w:rPr>
      </w:pPr>
      <w:r w:rsidRPr="00CD0CA1">
        <w:rPr>
          <w:b/>
          <w:lang w:val="en-GB"/>
        </w:rPr>
        <w:t xml:space="preserve">Proposal 1: Further study the need to impose some constraints if a UE is dynamically scheduled with 1ms TTI and </w:t>
      </w:r>
      <w:proofErr w:type="spellStart"/>
      <w:r w:rsidRPr="00CD0CA1">
        <w:rPr>
          <w:b/>
          <w:lang w:val="en-GB"/>
        </w:rPr>
        <w:t>sTTI</w:t>
      </w:r>
      <w:proofErr w:type="spellEnd"/>
      <w:r>
        <w:rPr>
          <w:b/>
          <w:lang w:val="en-GB"/>
        </w:rPr>
        <w:t xml:space="preserve"> in the UL</w:t>
      </w:r>
      <w:r w:rsidRPr="00CD0CA1">
        <w:rPr>
          <w:b/>
          <w:lang w:val="en-GB"/>
        </w:rPr>
        <w:t xml:space="preserve">. </w:t>
      </w:r>
    </w:p>
    <w:p w14:paraId="26807C4C" w14:textId="321B14C3" w:rsidR="00EA3C77" w:rsidRDefault="009E75A6" w:rsidP="00F53F03">
      <w:pPr>
        <w:rPr>
          <w:b/>
          <w:lang w:val="en-GB"/>
        </w:rPr>
      </w:pPr>
      <w:r>
        <w:rPr>
          <w:b/>
          <w:lang w:val="en-GB"/>
        </w:rPr>
        <w:t>Proposal 2</w:t>
      </w:r>
      <w:r w:rsidR="00EA3C77" w:rsidRPr="001A3CDC">
        <w:rPr>
          <w:b/>
          <w:lang w:val="en-GB"/>
        </w:rPr>
        <w:t>: Consider a separate scheduling request signalling for a low latency operation.</w:t>
      </w:r>
    </w:p>
    <w:p w14:paraId="146421F6" w14:textId="63F0FB16" w:rsidR="006453B0" w:rsidRPr="00E06320" w:rsidRDefault="006453B0" w:rsidP="006453B0">
      <w:pPr>
        <w:jc w:val="both"/>
        <w:rPr>
          <w:b/>
          <w:lang w:val="en-GB"/>
        </w:rPr>
      </w:pPr>
      <w:r w:rsidRPr="009E75A6">
        <w:rPr>
          <w:b/>
          <w:lang w:val="en-GB"/>
        </w:rPr>
        <w:t xml:space="preserve">Proposal </w:t>
      </w:r>
      <w:r w:rsidR="009E75A6" w:rsidRPr="00F53F03">
        <w:rPr>
          <w:b/>
        </w:rPr>
        <w:t>3</w:t>
      </w:r>
      <w:r w:rsidRPr="00263EA2">
        <w:rPr>
          <w:b/>
          <w:lang w:val="en-GB"/>
        </w:rPr>
        <w:t xml:space="preserve">: Support efficient co-existence in a </w:t>
      </w:r>
      <w:proofErr w:type="spellStart"/>
      <w:r w:rsidRPr="00263EA2">
        <w:rPr>
          <w:b/>
          <w:lang w:val="en-GB"/>
        </w:rPr>
        <w:t>subframe</w:t>
      </w:r>
      <w:proofErr w:type="spellEnd"/>
      <w:r w:rsidRPr="00263EA2">
        <w:rPr>
          <w:b/>
          <w:lang w:val="en-GB"/>
        </w:rPr>
        <w:t xml:space="preserve"> between legacy and low latency users.</w:t>
      </w:r>
    </w:p>
    <w:p w14:paraId="3DC201B8" w14:textId="2EDD6E3C" w:rsidR="0084282D" w:rsidRPr="00775094" w:rsidRDefault="0084282D" w:rsidP="0084282D">
      <w:pPr>
        <w:jc w:val="both"/>
        <w:rPr>
          <w:b/>
        </w:rPr>
      </w:pPr>
      <w:r>
        <w:rPr>
          <w:b/>
        </w:rPr>
        <w:t xml:space="preserve">Proposal </w:t>
      </w:r>
      <w:r w:rsidR="009E75A6">
        <w:rPr>
          <w:b/>
        </w:rPr>
        <w:t>4</w:t>
      </w:r>
      <w:r w:rsidRPr="00263EA2">
        <w:rPr>
          <w:b/>
        </w:rPr>
        <w:t xml:space="preserve">: </w:t>
      </w:r>
      <w:r>
        <w:rPr>
          <w:b/>
        </w:rPr>
        <w:t>At least for a</w:t>
      </w:r>
      <w:r w:rsidRPr="00263EA2">
        <w:rPr>
          <w:b/>
        </w:rPr>
        <w:t xml:space="preserve"> 2-symbol </w:t>
      </w:r>
      <w:proofErr w:type="spellStart"/>
      <w:r w:rsidRPr="00263EA2">
        <w:rPr>
          <w:b/>
        </w:rPr>
        <w:t>sPUSCH</w:t>
      </w:r>
      <w:proofErr w:type="spellEnd"/>
      <w:r>
        <w:rPr>
          <w:b/>
        </w:rPr>
        <w:t>,</w:t>
      </w:r>
      <w:r w:rsidRPr="00263EA2">
        <w:rPr>
          <w:b/>
        </w:rPr>
        <w:t xml:space="preserve"> </w:t>
      </w:r>
      <w:r>
        <w:rPr>
          <w:b/>
        </w:rPr>
        <w:t>a</w:t>
      </w:r>
      <w:r w:rsidRPr="00263EA2">
        <w:rPr>
          <w:b/>
        </w:rPr>
        <w:t xml:space="preserve"> block based </w:t>
      </w:r>
      <w:proofErr w:type="spellStart"/>
      <w:r w:rsidRPr="00263EA2">
        <w:rPr>
          <w:b/>
        </w:rPr>
        <w:t>sTTI</w:t>
      </w:r>
      <w:proofErr w:type="spellEnd"/>
      <w:r w:rsidRPr="00263EA2">
        <w:rPr>
          <w:b/>
        </w:rPr>
        <w:t xml:space="preserve"> design should be considered allowing </w:t>
      </w:r>
      <w:proofErr w:type="spellStart"/>
      <w:r w:rsidRPr="00263EA2">
        <w:rPr>
          <w:b/>
        </w:rPr>
        <w:t>eNB</w:t>
      </w:r>
      <w:proofErr w:type="spellEnd"/>
      <w:r w:rsidRPr="00263EA2">
        <w:rPr>
          <w:b/>
        </w:rPr>
        <w:t xml:space="preserve"> to flexibly assign one or more UEs to one or more contiguous </w:t>
      </w:r>
      <w:proofErr w:type="spellStart"/>
      <w:r w:rsidRPr="00263EA2">
        <w:rPr>
          <w:b/>
        </w:rPr>
        <w:t>sTTI</w:t>
      </w:r>
      <w:proofErr w:type="spellEnd"/>
      <w:r w:rsidRPr="00263EA2">
        <w:rPr>
          <w:b/>
        </w:rPr>
        <w:t xml:space="preserve"> blocks.</w:t>
      </w:r>
    </w:p>
    <w:p w14:paraId="1AE38374" w14:textId="7FDAB535" w:rsidR="006453B0" w:rsidRDefault="0084282D" w:rsidP="00553FCF">
      <w:pPr>
        <w:jc w:val="both"/>
        <w:rPr>
          <w:b/>
        </w:rPr>
      </w:pPr>
      <w:r>
        <w:rPr>
          <w:b/>
        </w:rPr>
        <w:t xml:space="preserve">Proposal </w:t>
      </w:r>
      <w:r w:rsidR="009E75A6">
        <w:rPr>
          <w:b/>
        </w:rPr>
        <w:t>5</w:t>
      </w:r>
      <w:r w:rsidRPr="00263EA2">
        <w:rPr>
          <w:b/>
        </w:rPr>
        <w:t xml:space="preserve">: </w:t>
      </w:r>
      <w:r>
        <w:rPr>
          <w:b/>
        </w:rPr>
        <w:t>The block structure can be semi-statically defined via a higher layer signaling.</w:t>
      </w:r>
    </w:p>
    <w:p w14:paraId="0414B630" w14:textId="0466A20D" w:rsidR="00C82052" w:rsidRPr="006453B0" w:rsidRDefault="00C82052" w:rsidP="00C82052">
      <w:pPr>
        <w:rPr>
          <w:lang w:val="en-GB"/>
        </w:rPr>
      </w:pPr>
      <w:r>
        <w:rPr>
          <w:b/>
          <w:lang w:val="en-GB"/>
        </w:rPr>
        <w:t xml:space="preserve">Proposal </w:t>
      </w:r>
      <w:r w:rsidR="009E75A6">
        <w:rPr>
          <w:b/>
          <w:lang w:val="en-GB"/>
        </w:rPr>
        <w:t>6</w:t>
      </w:r>
      <w:r w:rsidRPr="00093618">
        <w:rPr>
          <w:b/>
          <w:lang w:val="en-GB"/>
        </w:rPr>
        <w:t>: Fo</w:t>
      </w:r>
      <w:r>
        <w:rPr>
          <w:b/>
          <w:lang w:val="en-GB"/>
        </w:rPr>
        <w:t>r TBS sizing of the 2-symbol and 1-</w:t>
      </w:r>
      <w:r w:rsidRPr="00093618">
        <w:rPr>
          <w:b/>
          <w:lang w:val="en-GB"/>
        </w:rPr>
        <w:t xml:space="preserve">slot </w:t>
      </w:r>
      <w:proofErr w:type="spellStart"/>
      <w:r w:rsidRPr="00093618">
        <w:rPr>
          <w:b/>
          <w:lang w:val="en-GB"/>
        </w:rPr>
        <w:t>sTTIs</w:t>
      </w:r>
      <w:proofErr w:type="spellEnd"/>
      <w:r>
        <w:rPr>
          <w:b/>
          <w:lang w:val="en-GB"/>
        </w:rPr>
        <w:t>,</w:t>
      </w:r>
      <w:r w:rsidRPr="00093618">
        <w:rPr>
          <w:b/>
          <w:lang w:val="en-GB"/>
        </w:rPr>
        <w:t xml:space="preserve"> the number of PRBs used to index the TBS block size table is determined by a floored scaling operation by a factor of 1/6 or 1/12 for the 2-symbol </w:t>
      </w:r>
      <w:proofErr w:type="spellStart"/>
      <w:r w:rsidRPr="00093618">
        <w:rPr>
          <w:b/>
          <w:lang w:val="en-GB"/>
        </w:rPr>
        <w:t>sTTI</w:t>
      </w:r>
      <w:proofErr w:type="spellEnd"/>
      <w:r w:rsidRPr="00093618">
        <w:rPr>
          <w:b/>
          <w:lang w:val="en-GB"/>
        </w:rPr>
        <w:t xml:space="preserve"> and a factor of ½ for the 1 slot </w:t>
      </w:r>
      <w:proofErr w:type="spellStart"/>
      <w:r w:rsidRPr="00093618">
        <w:rPr>
          <w:b/>
          <w:lang w:val="en-GB"/>
        </w:rPr>
        <w:t>sTTI</w:t>
      </w:r>
      <w:proofErr w:type="spellEnd"/>
      <w:r w:rsidRPr="00093618">
        <w:rPr>
          <w:b/>
          <w:lang w:val="en-GB"/>
        </w:rPr>
        <w:t xml:space="preserve"> case, on the allocation PRB size of the </w:t>
      </w:r>
      <w:proofErr w:type="spellStart"/>
      <w:r w:rsidRPr="00093618">
        <w:rPr>
          <w:b/>
          <w:lang w:val="en-GB"/>
        </w:rPr>
        <w:t>sTTI</w:t>
      </w:r>
      <w:proofErr w:type="spellEnd"/>
      <w:r w:rsidRPr="00093618">
        <w:rPr>
          <w:b/>
          <w:lang w:val="en-GB"/>
        </w:rPr>
        <w:t>.</w:t>
      </w:r>
    </w:p>
    <w:p w14:paraId="3137B13F" w14:textId="7063807F" w:rsidR="00C03FFF" w:rsidRPr="008F3A8D" w:rsidRDefault="00C82052" w:rsidP="00C03FFF">
      <w:pPr>
        <w:jc w:val="both"/>
        <w:rPr>
          <w:b/>
          <w:lang w:val="en-GB"/>
        </w:rPr>
      </w:pPr>
      <w:r w:rsidRPr="008F3A8D">
        <w:rPr>
          <w:b/>
          <w:lang w:val="en-GB"/>
        </w:rPr>
        <w:t xml:space="preserve">Proposal </w:t>
      </w:r>
      <w:r w:rsidR="009E75A6">
        <w:rPr>
          <w:b/>
          <w:lang w:val="en-GB"/>
        </w:rPr>
        <w:t>7</w:t>
      </w:r>
      <w:r w:rsidRPr="008F3A8D">
        <w:rPr>
          <w:b/>
          <w:lang w:val="en-GB"/>
        </w:rPr>
        <w:t xml:space="preserve">: </w:t>
      </w:r>
      <w:r w:rsidR="00C03FFF">
        <w:rPr>
          <w:b/>
          <w:lang w:val="en-GB"/>
        </w:rPr>
        <w:t>Support</w:t>
      </w:r>
      <w:r w:rsidR="00C03FFF" w:rsidRPr="008F3A8D">
        <w:rPr>
          <w:b/>
          <w:lang w:val="en-GB"/>
        </w:rPr>
        <w:t xml:space="preserve"> only 1 CW per CC under the </w:t>
      </w:r>
      <w:proofErr w:type="spellStart"/>
      <w:r w:rsidR="00C03FFF" w:rsidRPr="008F3A8D">
        <w:rPr>
          <w:b/>
          <w:lang w:val="en-GB"/>
        </w:rPr>
        <w:t>sTTI</w:t>
      </w:r>
      <w:proofErr w:type="spellEnd"/>
      <w:r w:rsidR="00C03FFF" w:rsidRPr="008F3A8D">
        <w:rPr>
          <w:b/>
          <w:lang w:val="en-GB"/>
        </w:rPr>
        <w:t xml:space="preserve"> operation.</w:t>
      </w:r>
    </w:p>
    <w:p w14:paraId="55EA8DE4" w14:textId="344575AF" w:rsidR="00C03FFF" w:rsidRDefault="00C03FFF" w:rsidP="00C03FFF">
      <w:pPr>
        <w:jc w:val="both"/>
        <w:rPr>
          <w:b/>
          <w:lang w:val="en-GB"/>
        </w:rPr>
      </w:pPr>
      <w:r>
        <w:rPr>
          <w:b/>
          <w:lang w:val="en-GB"/>
        </w:rPr>
        <w:t xml:space="preserve">Proposal </w:t>
      </w:r>
      <w:r w:rsidR="009E75A6">
        <w:rPr>
          <w:b/>
          <w:lang w:val="en-GB"/>
        </w:rPr>
        <w:t>8</w:t>
      </w:r>
      <w:r>
        <w:rPr>
          <w:b/>
          <w:lang w:val="en-GB"/>
        </w:rPr>
        <w:t>: The maximum number of layers is 2 in the uplink of a low latency system.</w:t>
      </w:r>
    </w:p>
    <w:p w14:paraId="70CD03B9" w14:textId="67C083A1" w:rsidR="00C82052" w:rsidRPr="0086578F" w:rsidRDefault="0086578F" w:rsidP="0086578F">
      <w:pPr>
        <w:jc w:val="both"/>
        <w:textAlignment w:val="auto"/>
        <w:rPr>
          <w:b/>
          <w:lang w:val="en-GB"/>
        </w:rPr>
      </w:pPr>
      <w:r>
        <w:rPr>
          <w:b/>
          <w:lang w:val="en-GB"/>
        </w:rPr>
        <w:t xml:space="preserve">Proposal </w:t>
      </w:r>
      <w:r w:rsidR="009E75A6">
        <w:rPr>
          <w:b/>
          <w:lang w:val="en-GB"/>
        </w:rPr>
        <w:t>9</w:t>
      </w:r>
      <w:r w:rsidRPr="00263EA2">
        <w:rPr>
          <w:b/>
          <w:lang w:val="en-GB"/>
        </w:rPr>
        <w:t xml:space="preserve">: For the 1-slot </w:t>
      </w:r>
      <w:proofErr w:type="spellStart"/>
      <w:r w:rsidRPr="00263EA2">
        <w:rPr>
          <w:b/>
          <w:lang w:val="en-GB"/>
        </w:rPr>
        <w:t>sTTI</w:t>
      </w:r>
      <w:proofErr w:type="spellEnd"/>
      <w:r w:rsidRPr="00263EA2">
        <w:rPr>
          <w:b/>
          <w:lang w:val="en-GB"/>
        </w:rPr>
        <w:t xml:space="preserve"> PUSCH transmission, consider supporting comb-based and OCC-based DM-RS transmissions to enable MU-MIMO transmissions across PUSCH of 1-ms and/or 1-slot TTIs that have partially overlapping allocations.</w:t>
      </w:r>
    </w:p>
    <w:p w14:paraId="40579ABD" w14:textId="66AF0A46" w:rsidR="006453B0" w:rsidRDefault="00C82052" w:rsidP="006453B0">
      <w:pPr>
        <w:pStyle w:val="Heading1"/>
        <w:jc w:val="both"/>
      </w:pPr>
      <w:r>
        <w:t>4</w:t>
      </w:r>
      <w:r w:rsidR="006453B0">
        <w:tab/>
        <w:t>References</w:t>
      </w:r>
      <w:r w:rsidR="006453B0" w:rsidRPr="00E05A22">
        <w:t xml:space="preserve"> </w:t>
      </w:r>
    </w:p>
    <w:p w14:paraId="716C25F5" w14:textId="36B7CFFA" w:rsidR="002B2DFF" w:rsidRPr="00553FCF" w:rsidRDefault="0040500A" w:rsidP="00553FCF">
      <w:pPr>
        <w:jc w:val="both"/>
        <w:rPr>
          <w:b/>
          <w:lang w:val="en-GB"/>
        </w:rPr>
      </w:pPr>
      <w:r>
        <w:rPr>
          <w:b/>
          <w:lang w:val="en-GB"/>
        </w:rPr>
        <w:t xml:space="preserve">[1] </w:t>
      </w:r>
      <w:r w:rsidRPr="002B2DFF">
        <w:rPr>
          <w:b/>
          <w:lang w:val="en-GB"/>
        </w:rPr>
        <w:t>R1-</w:t>
      </w:r>
      <w:r w:rsidR="00F53F03" w:rsidRPr="00F53F03">
        <w:rPr>
          <w:b/>
          <w:lang w:val="en-GB"/>
        </w:rPr>
        <w:t>1704992</w:t>
      </w:r>
      <w:r>
        <w:rPr>
          <w:b/>
          <w:lang w:val="en-GB"/>
        </w:rPr>
        <w:t>, ``</w:t>
      </w:r>
      <w:r w:rsidRPr="00CD0CA1">
        <w:rPr>
          <w:b/>
          <w:i/>
          <w:lang w:val="en-GB"/>
        </w:rPr>
        <w:t>Design Details of the Shortened PDSCH</w:t>
      </w:r>
      <w:r>
        <w:rPr>
          <w:b/>
          <w:lang w:val="en-GB"/>
        </w:rPr>
        <w:t>,” Qualcomm.</w:t>
      </w:r>
      <w:r w:rsidDel="0040500A">
        <w:rPr>
          <w:b/>
          <w:lang w:val="en-GB"/>
        </w:rPr>
        <w:t xml:space="preserve"> </w:t>
      </w:r>
    </w:p>
    <w:sectPr w:rsidR="002B2DFF" w:rsidRPr="00553FC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FC09D" w14:textId="77777777" w:rsidR="00251E52" w:rsidRDefault="00251E52">
      <w:r>
        <w:separator/>
      </w:r>
    </w:p>
  </w:endnote>
  <w:endnote w:type="continuationSeparator" w:id="0">
    <w:p w14:paraId="11CFED44" w14:textId="77777777" w:rsidR="00251E52" w:rsidRDefault="00251E52">
      <w:r>
        <w:continuationSeparator/>
      </w:r>
    </w:p>
  </w:endnote>
  <w:endnote w:type="continuationNotice" w:id="1">
    <w:p w14:paraId="2C312D9D" w14:textId="77777777" w:rsidR="00251E52" w:rsidRDefault="00251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53F0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F0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D6BED" w14:textId="77777777" w:rsidR="00251E52" w:rsidRDefault="00251E52">
      <w:r>
        <w:separator/>
      </w:r>
    </w:p>
  </w:footnote>
  <w:footnote w:type="continuationSeparator" w:id="0">
    <w:p w14:paraId="144F879A" w14:textId="77777777" w:rsidR="00251E52" w:rsidRDefault="00251E52">
      <w:r>
        <w:continuationSeparator/>
      </w:r>
    </w:p>
  </w:footnote>
  <w:footnote w:type="continuationNotice" w:id="1">
    <w:p w14:paraId="285DAF6F" w14:textId="77777777" w:rsidR="00251E52" w:rsidRDefault="00251E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D12E3"/>
    <w:multiLevelType w:val="hybridMultilevel"/>
    <w:tmpl w:val="7700D378"/>
    <w:lvl w:ilvl="0" w:tplc="3244B48A">
      <w:start w:val="1"/>
      <w:numFmt w:val="bullet"/>
      <w:lvlText w:val="−"/>
      <w:lvlJc w:val="left"/>
      <w:pPr>
        <w:tabs>
          <w:tab w:val="num" w:pos="720"/>
        </w:tabs>
        <w:ind w:left="720" w:hanging="360"/>
      </w:pPr>
      <w:rPr>
        <w:rFonts w:ascii="Calibre Regular" w:hAnsi="Calibre Regular" w:hint="default"/>
      </w:rPr>
    </w:lvl>
    <w:lvl w:ilvl="1" w:tplc="A9DCF9C0">
      <w:start w:val="1"/>
      <w:numFmt w:val="bullet"/>
      <w:lvlText w:val="−"/>
      <w:lvlJc w:val="left"/>
      <w:pPr>
        <w:tabs>
          <w:tab w:val="num" w:pos="1440"/>
        </w:tabs>
        <w:ind w:left="1440" w:hanging="360"/>
      </w:pPr>
      <w:rPr>
        <w:rFonts w:ascii="Calibre Regular" w:hAnsi="Calibre Regular" w:hint="default"/>
      </w:rPr>
    </w:lvl>
    <w:lvl w:ilvl="2" w:tplc="BEAC58E0" w:tentative="1">
      <w:start w:val="1"/>
      <w:numFmt w:val="bullet"/>
      <w:lvlText w:val="−"/>
      <w:lvlJc w:val="left"/>
      <w:pPr>
        <w:tabs>
          <w:tab w:val="num" w:pos="2160"/>
        </w:tabs>
        <w:ind w:left="2160" w:hanging="360"/>
      </w:pPr>
      <w:rPr>
        <w:rFonts w:ascii="Calibre Regular" w:hAnsi="Calibre Regular" w:hint="default"/>
      </w:rPr>
    </w:lvl>
    <w:lvl w:ilvl="3" w:tplc="E856B3D6" w:tentative="1">
      <w:start w:val="1"/>
      <w:numFmt w:val="bullet"/>
      <w:lvlText w:val="−"/>
      <w:lvlJc w:val="left"/>
      <w:pPr>
        <w:tabs>
          <w:tab w:val="num" w:pos="2880"/>
        </w:tabs>
        <w:ind w:left="2880" w:hanging="360"/>
      </w:pPr>
      <w:rPr>
        <w:rFonts w:ascii="Calibre Regular" w:hAnsi="Calibre Regular" w:hint="default"/>
      </w:rPr>
    </w:lvl>
    <w:lvl w:ilvl="4" w:tplc="BC48A1EC" w:tentative="1">
      <w:start w:val="1"/>
      <w:numFmt w:val="bullet"/>
      <w:lvlText w:val="−"/>
      <w:lvlJc w:val="left"/>
      <w:pPr>
        <w:tabs>
          <w:tab w:val="num" w:pos="3600"/>
        </w:tabs>
        <w:ind w:left="3600" w:hanging="360"/>
      </w:pPr>
      <w:rPr>
        <w:rFonts w:ascii="Calibre Regular" w:hAnsi="Calibre Regular" w:hint="default"/>
      </w:rPr>
    </w:lvl>
    <w:lvl w:ilvl="5" w:tplc="6C6265F6" w:tentative="1">
      <w:start w:val="1"/>
      <w:numFmt w:val="bullet"/>
      <w:lvlText w:val="−"/>
      <w:lvlJc w:val="left"/>
      <w:pPr>
        <w:tabs>
          <w:tab w:val="num" w:pos="4320"/>
        </w:tabs>
        <w:ind w:left="4320" w:hanging="360"/>
      </w:pPr>
      <w:rPr>
        <w:rFonts w:ascii="Calibre Regular" w:hAnsi="Calibre Regular" w:hint="default"/>
      </w:rPr>
    </w:lvl>
    <w:lvl w:ilvl="6" w:tplc="06C4FAF2" w:tentative="1">
      <w:start w:val="1"/>
      <w:numFmt w:val="bullet"/>
      <w:lvlText w:val="−"/>
      <w:lvlJc w:val="left"/>
      <w:pPr>
        <w:tabs>
          <w:tab w:val="num" w:pos="5040"/>
        </w:tabs>
        <w:ind w:left="5040" w:hanging="360"/>
      </w:pPr>
      <w:rPr>
        <w:rFonts w:ascii="Calibre Regular" w:hAnsi="Calibre Regular" w:hint="default"/>
      </w:rPr>
    </w:lvl>
    <w:lvl w:ilvl="7" w:tplc="B0E25EBC" w:tentative="1">
      <w:start w:val="1"/>
      <w:numFmt w:val="bullet"/>
      <w:lvlText w:val="−"/>
      <w:lvlJc w:val="left"/>
      <w:pPr>
        <w:tabs>
          <w:tab w:val="num" w:pos="5760"/>
        </w:tabs>
        <w:ind w:left="5760" w:hanging="360"/>
      </w:pPr>
      <w:rPr>
        <w:rFonts w:ascii="Calibre Regular" w:hAnsi="Calibre Regular" w:hint="default"/>
      </w:rPr>
    </w:lvl>
    <w:lvl w:ilvl="8" w:tplc="C2026E9A"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15B44266"/>
    <w:multiLevelType w:val="hybridMultilevel"/>
    <w:tmpl w:val="E662CCE4"/>
    <w:lvl w:ilvl="0" w:tplc="EAEAC01A">
      <w:start w:val="1"/>
      <w:numFmt w:val="bullet"/>
      <w:lvlText w:val=""/>
      <w:lvlPicBulletId w:val="0"/>
      <w:lvlJc w:val="left"/>
      <w:pPr>
        <w:tabs>
          <w:tab w:val="num" w:pos="720"/>
        </w:tabs>
        <w:ind w:left="720" w:hanging="360"/>
      </w:pPr>
      <w:rPr>
        <w:rFonts w:ascii="Symbol" w:hAnsi="Symbol" w:hint="default"/>
      </w:rPr>
    </w:lvl>
    <w:lvl w:ilvl="1" w:tplc="1E981102">
      <w:start w:val="100"/>
      <w:numFmt w:val="bullet"/>
      <w:lvlText w:val="−"/>
      <w:lvlJc w:val="left"/>
      <w:pPr>
        <w:tabs>
          <w:tab w:val="num" w:pos="1440"/>
        </w:tabs>
        <w:ind w:left="1440" w:hanging="360"/>
      </w:pPr>
      <w:rPr>
        <w:rFonts w:ascii="Calibre Regular" w:hAnsi="Calibre Regular" w:hint="default"/>
      </w:rPr>
    </w:lvl>
    <w:lvl w:ilvl="2" w:tplc="B6FA3AA6" w:tentative="1">
      <w:start w:val="1"/>
      <w:numFmt w:val="bullet"/>
      <w:lvlText w:val=""/>
      <w:lvlPicBulletId w:val="0"/>
      <w:lvlJc w:val="left"/>
      <w:pPr>
        <w:tabs>
          <w:tab w:val="num" w:pos="2160"/>
        </w:tabs>
        <w:ind w:left="2160" w:hanging="360"/>
      </w:pPr>
      <w:rPr>
        <w:rFonts w:ascii="Symbol" w:hAnsi="Symbol" w:hint="default"/>
      </w:rPr>
    </w:lvl>
    <w:lvl w:ilvl="3" w:tplc="53A8B4C6" w:tentative="1">
      <w:start w:val="1"/>
      <w:numFmt w:val="bullet"/>
      <w:lvlText w:val=""/>
      <w:lvlPicBulletId w:val="0"/>
      <w:lvlJc w:val="left"/>
      <w:pPr>
        <w:tabs>
          <w:tab w:val="num" w:pos="2880"/>
        </w:tabs>
        <w:ind w:left="2880" w:hanging="360"/>
      </w:pPr>
      <w:rPr>
        <w:rFonts w:ascii="Symbol" w:hAnsi="Symbol" w:hint="default"/>
      </w:rPr>
    </w:lvl>
    <w:lvl w:ilvl="4" w:tplc="961422F6" w:tentative="1">
      <w:start w:val="1"/>
      <w:numFmt w:val="bullet"/>
      <w:lvlText w:val=""/>
      <w:lvlPicBulletId w:val="0"/>
      <w:lvlJc w:val="left"/>
      <w:pPr>
        <w:tabs>
          <w:tab w:val="num" w:pos="3600"/>
        </w:tabs>
        <w:ind w:left="3600" w:hanging="360"/>
      </w:pPr>
      <w:rPr>
        <w:rFonts w:ascii="Symbol" w:hAnsi="Symbol" w:hint="default"/>
      </w:rPr>
    </w:lvl>
    <w:lvl w:ilvl="5" w:tplc="AB2E852E" w:tentative="1">
      <w:start w:val="1"/>
      <w:numFmt w:val="bullet"/>
      <w:lvlText w:val=""/>
      <w:lvlPicBulletId w:val="0"/>
      <w:lvlJc w:val="left"/>
      <w:pPr>
        <w:tabs>
          <w:tab w:val="num" w:pos="4320"/>
        </w:tabs>
        <w:ind w:left="4320" w:hanging="360"/>
      </w:pPr>
      <w:rPr>
        <w:rFonts w:ascii="Symbol" w:hAnsi="Symbol" w:hint="default"/>
      </w:rPr>
    </w:lvl>
    <w:lvl w:ilvl="6" w:tplc="CE08A6B0" w:tentative="1">
      <w:start w:val="1"/>
      <w:numFmt w:val="bullet"/>
      <w:lvlText w:val=""/>
      <w:lvlPicBulletId w:val="0"/>
      <w:lvlJc w:val="left"/>
      <w:pPr>
        <w:tabs>
          <w:tab w:val="num" w:pos="5040"/>
        </w:tabs>
        <w:ind w:left="5040" w:hanging="360"/>
      </w:pPr>
      <w:rPr>
        <w:rFonts w:ascii="Symbol" w:hAnsi="Symbol" w:hint="default"/>
      </w:rPr>
    </w:lvl>
    <w:lvl w:ilvl="7" w:tplc="22BE4DAA" w:tentative="1">
      <w:start w:val="1"/>
      <w:numFmt w:val="bullet"/>
      <w:lvlText w:val=""/>
      <w:lvlPicBulletId w:val="0"/>
      <w:lvlJc w:val="left"/>
      <w:pPr>
        <w:tabs>
          <w:tab w:val="num" w:pos="5760"/>
        </w:tabs>
        <w:ind w:left="5760" w:hanging="360"/>
      </w:pPr>
      <w:rPr>
        <w:rFonts w:ascii="Symbol" w:hAnsi="Symbol" w:hint="default"/>
      </w:rPr>
    </w:lvl>
    <w:lvl w:ilvl="8" w:tplc="E10E713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007792"/>
    <w:multiLevelType w:val="hybridMultilevel"/>
    <w:tmpl w:val="B396F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20D25"/>
    <w:multiLevelType w:val="hybridMultilevel"/>
    <w:tmpl w:val="F3D24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1A2D1C"/>
    <w:multiLevelType w:val="hybridMultilevel"/>
    <w:tmpl w:val="8F88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27"/>
  </w:num>
  <w:num w:numId="4">
    <w:abstractNumId w:val="5"/>
  </w:num>
  <w:num w:numId="5">
    <w:abstractNumId w:val="14"/>
  </w:num>
  <w:num w:numId="6">
    <w:abstractNumId w:val="42"/>
  </w:num>
  <w:num w:numId="7">
    <w:abstractNumId w:val="21"/>
  </w:num>
  <w:num w:numId="8">
    <w:abstractNumId w:val="22"/>
  </w:num>
  <w:num w:numId="9">
    <w:abstractNumId w:val="20"/>
  </w:num>
  <w:num w:numId="10">
    <w:abstractNumId w:val="33"/>
  </w:num>
  <w:num w:numId="11">
    <w:abstractNumId w:val="8"/>
  </w:num>
  <w:num w:numId="12">
    <w:abstractNumId w:val="15"/>
  </w:num>
  <w:num w:numId="13">
    <w:abstractNumId w:val="13"/>
  </w:num>
  <w:num w:numId="14">
    <w:abstractNumId w:val="12"/>
  </w:num>
  <w:num w:numId="15">
    <w:abstractNumId w:val="38"/>
  </w:num>
  <w:num w:numId="16">
    <w:abstractNumId w:val="47"/>
  </w:num>
  <w:num w:numId="17">
    <w:abstractNumId w:val="23"/>
  </w:num>
  <w:num w:numId="18">
    <w:abstractNumId w:val="35"/>
  </w:num>
  <w:num w:numId="19">
    <w:abstractNumId w:val="46"/>
  </w:num>
  <w:num w:numId="20">
    <w:abstractNumId w:val="29"/>
  </w:num>
  <w:num w:numId="21">
    <w:abstractNumId w:val="39"/>
  </w:num>
  <w:num w:numId="22">
    <w:abstractNumId w:val="43"/>
  </w:num>
  <w:num w:numId="23">
    <w:abstractNumId w:val="16"/>
  </w:num>
  <w:num w:numId="24">
    <w:abstractNumId w:val="26"/>
  </w:num>
  <w:num w:numId="25">
    <w:abstractNumId w:val="4"/>
  </w:num>
  <w:num w:numId="26">
    <w:abstractNumId w:val="41"/>
  </w:num>
  <w:num w:numId="27">
    <w:abstractNumId w:val="17"/>
  </w:num>
  <w:num w:numId="28">
    <w:abstractNumId w:val="40"/>
  </w:num>
  <w:num w:numId="29">
    <w:abstractNumId w:val="45"/>
  </w:num>
  <w:num w:numId="30">
    <w:abstractNumId w:val="3"/>
  </w:num>
  <w:num w:numId="31">
    <w:abstractNumId w:val="18"/>
  </w:num>
  <w:num w:numId="32">
    <w:abstractNumId w:val="1"/>
  </w:num>
  <w:num w:numId="33">
    <w:abstractNumId w:val="32"/>
  </w:num>
  <w:num w:numId="34">
    <w:abstractNumId w:val="30"/>
  </w:num>
  <w:num w:numId="35">
    <w:abstractNumId w:val="34"/>
  </w:num>
  <w:num w:numId="36">
    <w:abstractNumId w:val="0"/>
  </w:num>
  <w:num w:numId="37">
    <w:abstractNumId w:val="11"/>
  </w:num>
  <w:num w:numId="38">
    <w:abstractNumId w:val="31"/>
  </w:num>
  <w:num w:numId="39">
    <w:abstractNumId w:val="24"/>
  </w:num>
  <w:num w:numId="40">
    <w:abstractNumId w:val="37"/>
  </w:num>
  <w:num w:numId="41">
    <w:abstractNumId w:val="7"/>
  </w:num>
  <w:num w:numId="42">
    <w:abstractNumId w:val="36"/>
  </w:num>
  <w:num w:numId="43">
    <w:abstractNumId w:val="2"/>
  </w:num>
  <w:num w:numId="44">
    <w:abstractNumId w:val="28"/>
  </w:num>
  <w:num w:numId="45">
    <w:abstractNumId w:val="10"/>
  </w:num>
  <w:num w:numId="46">
    <w:abstractNumId w:val="44"/>
  </w:num>
  <w:num w:numId="47">
    <w:abstractNumId w:val="9"/>
  </w:num>
  <w:num w:numId="48">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26F42"/>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48"/>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022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2E9B"/>
    <w:rsid w:val="00183A98"/>
    <w:rsid w:val="00183F0E"/>
    <w:rsid w:val="00185E59"/>
    <w:rsid w:val="00186FA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2E55"/>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E5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2DFF"/>
    <w:rsid w:val="002B318B"/>
    <w:rsid w:val="002B3BD3"/>
    <w:rsid w:val="002B3D90"/>
    <w:rsid w:val="002B475D"/>
    <w:rsid w:val="002B4B75"/>
    <w:rsid w:val="002B4FE2"/>
    <w:rsid w:val="002B5C2D"/>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C7E94"/>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85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48EE"/>
    <w:rsid w:val="002F53C6"/>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52A"/>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00A"/>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55EB"/>
    <w:rsid w:val="00435602"/>
    <w:rsid w:val="00435635"/>
    <w:rsid w:val="004356FA"/>
    <w:rsid w:val="00435CCF"/>
    <w:rsid w:val="004365C5"/>
    <w:rsid w:val="00436AA7"/>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D61"/>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53B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4E8A"/>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202"/>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282D"/>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78F"/>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9EA"/>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E75A6"/>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2BC"/>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1FD7"/>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6E77"/>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3FFF"/>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052"/>
    <w:rsid w:val="00C82C71"/>
    <w:rsid w:val="00C82D09"/>
    <w:rsid w:val="00C82E5F"/>
    <w:rsid w:val="00C83234"/>
    <w:rsid w:val="00C8338A"/>
    <w:rsid w:val="00C84103"/>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09C"/>
    <w:rsid w:val="00D5521C"/>
    <w:rsid w:val="00D554E6"/>
    <w:rsid w:val="00D55C37"/>
    <w:rsid w:val="00D563C2"/>
    <w:rsid w:val="00D56D08"/>
    <w:rsid w:val="00D56D65"/>
    <w:rsid w:val="00D57620"/>
    <w:rsid w:val="00D57F22"/>
    <w:rsid w:val="00D60018"/>
    <w:rsid w:val="00D60908"/>
    <w:rsid w:val="00D61292"/>
    <w:rsid w:val="00D6148F"/>
    <w:rsid w:val="00D621D2"/>
    <w:rsid w:val="00D6278F"/>
    <w:rsid w:val="00D6284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79E"/>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3C77"/>
    <w:rsid w:val="00EA42BA"/>
    <w:rsid w:val="00EA4F96"/>
    <w:rsid w:val="00EA531A"/>
    <w:rsid w:val="00EA589B"/>
    <w:rsid w:val="00EA7035"/>
    <w:rsid w:val="00EA7499"/>
    <w:rsid w:val="00EA74E3"/>
    <w:rsid w:val="00EA7744"/>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3F03"/>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25978264">
      <w:bodyDiv w:val="1"/>
      <w:marLeft w:val="0"/>
      <w:marRight w:val="0"/>
      <w:marTop w:val="0"/>
      <w:marBottom w:val="0"/>
      <w:divBdr>
        <w:top w:val="none" w:sz="0" w:space="0" w:color="auto"/>
        <w:left w:val="none" w:sz="0" w:space="0" w:color="auto"/>
        <w:bottom w:val="none" w:sz="0" w:space="0" w:color="auto"/>
        <w:right w:val="none" w:sz="0" w:space="0" w:color="auto"/>
      </w:divBdr>
      <w:divsChild>
        <w:div w:id="2116629085">
          <w:marLeft w:val="547"/>
          <w:marRight w:val="0"/>
          <w:marTop w:val="115"/>
          <w:marBottom w:val="0"/>
          <w:divBdr>
            <w:top w:val="none" w:sz="0" w:space="0" w:color="auto"/>
            <w:left w:val="none" w:sz="0" w:space="0" w:color="auto"/>
            <w:bottom w:val="none" w:sz="0" w:space="0" w:color="auto"/>
            <w:right w:val="none" w:sz="0" w:space="0" w:color="auto"/>
          </w:divBdr>
        </w:div>
        <w:div w:id="926304786">
          <w:marLeft w:val="1166"/>
          <w:marRight w:val="0"/>
          <w:marTop w:val="96"/>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13127">
      <w:bodyDiv w:val="1"/>
      <w:marLeft w:val="0"/>
      <w:marRight w:val="0"/>
      <w:marTop w:val="0"/>
      <w:marBottom w:val="0"/>
      <w:divBdr>
        <w:top w:val="none" w:sz="0" w:space="0" w:color="auto"/>
        <w:left w:val="none" w:sz="0" w:space="0" w:color="auto"/>
        <w:bottom w:val="none" w:sz="0" w:space="0" w:color="auto"/>
        <w:right w:val="none" w:sz="0" w:space="0" w:color="auto"/>
      </w:divBdr>
      <w:divsChild>
        <w:div w:id="1653023623">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HR33RHYHUWRF-4-1732</_dlc_DocId>
    <_dlc_DocIdUrl xmlns="c06861ca-3f08-4d07-bff7-bb15bac121f4">
      <Url>https://projects.qualcomm.com/sites/pentari/_layouts/15/DocIdRedir.aspx?ID=HR33RHYHUWRF-4-1732</Url>
      <Description>HR33RHYHUWRF-4-1732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751A8EB-A3CA-4019-BEEE-4F862CA3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0B941ADE-7101-4CE1-994C-6225B799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6</cp:revision>
  <cp:lastPrinted>2016-08-10T22:23:00Z</cp:lastPrinted>
  <dcterms:created xsi:type="dcterms:W3CDTF">2017-03-22T07:13:00Z</dcterms:created>
  <dcterms:modified xsi:type="dcterms:W3CDTF">2017-03-24T22:18:00Z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68ddd30e-cbb5-45b9-bb43-5dbc144e8745</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